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6B4F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9621113">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BA2369E">
            <w:pPr>
              <w:pStyle w:val="20"/>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r>
              <w:rPr>
                <w:rFonts w:ascii="黑体" w:hAnsi="黑体" w:eastAsia="黑体"/>
                <w:sz w:val="21"/>
                <w:szCs w:val="21"/>
              </w:rPr>
              <w:fldChar w:fldCharType="begin">
                <w:ffData>
                  <w:name w:val="ICS"/>
                  <w:enabled/>
                  <w:calcOnExit w:val="0"/>
                  <w:textInput>
                    <w:default w:val="11.020"/>
                  </w:textInput>
                </w:ffData>
              </w:fldChar>
            </w:r>
            <w:r>
              <w:rPr>
                <w:rFonts w:ascii="黑体" w:hAnsi="黑体" w:eastAsia="黑体"/>
                <w:sz w:val="21"/>
                <w:szCs w:val="21"/>
              </w:rPr>
              <w:instrText xml:space="preserve">FORMTEXT</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14:paraId="660C1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CC51CCB">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9C1864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36A10E7">
                  <w:pPr>
                    <w:pStyle w:val="54"/>
                    <w:framePr w:wrap="notBeside" w:vAnchor="page" w:hAnchor="page" w:x="1372" w:y="568"/>
                    <w:ind w:left="420" w:right="624"/>
                    <w:rPr>
                      <w:rFonts w:ascii="宋体" w:hAnsi="宋体"/>
                      <w:sz w:val="28"/>
                      <w:szCs w:val="28"/>
                    </w:rPr>
                  </w:pPr>
                  <w:r>
                    <w:rPr>
                      <w:sz w:val="21"/>
                      <w:szCs w:val="21"/>
                    </w:rPr>
                    <w:t xml:space="preserve"> </w:t>
                  </w:r>
                  <w:r>
                    <w:fldChar w:fldCharType="begin">
                      <w:ffData>
                        <w:name w:val="c1"/>
                        <w:enabled/>
                        <w:calcOnExit w:val="0"/>
                        <w:textInput>
                          <w:default w:val="DB44"/>
                          <w:maxLength w:val="7"/>
                        </w:textInput>
                      </w:ffData>
                    </w:fldChar>
                  </w:r>
                  <w:bookmarkStart w:id="1" w:name="c1"/>
                  <w:r>
                    <w:instrText xml:space="preserve"> FORMTEXT </w:instrText>
                  </w:r>
                  <w:r>
                    <w:fldChar w:fldCharType="separate"/>
                  </w:r>
                  <w:r>
                    <w:t>DB44</w:t>
                  </w:r>
                  <w:r>
                    <w:fldChar w:fldCharType="end"/>
                  </w:r>
                  <w:bookmarkEnd w:id="1"/>
                </w:p>
              </w:tc>
            </w:tr>
          </w:tbl>
          <w:p w14:paraId="3C568C60">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2" w:name="CSDN"/>
            <w:r>
              <w:rPr>
                <w:rFonts w:ascii="黑体" w:hAnsi="黑体" w:eastAsia="黑体"/>
                <w:sz w:val="21"/>
                <w:szCs w:val="21"/>
              </w:rPr>
              <w:fldChar w:fldCharType="begin">
                <w:ffData>
                  <w:name w:val="CSDN"/>
                  <w:enabled/>
                  <w:calcOnExit w:val="0"/>
                  <w:textInput>
                    <w:default w:val="C05"/>
                  </w:textInput>
                </w:ffData>
              </w:fldChar>
            </w:r>
            <w:r>
              <w:rPr>
                <w:rFonts w:ascii="黑体" w:hAnsi="黑体" w:eastAsia="黑体"/>
                <w:sz w:val="21"/>
                <w:szCs w:val="21"/>
              </w:rPr>
              <w:instrText xml:space="preserve">FORMTEXT</w:instrText>
            </w:r>
            <w:r>
              <w:rPr>
                <w:rFonts w:ascii="黑体" w:hAnsi="黑体" w:eastAsia="黑体"/>
                <w:sz w:val="21"/>
                <w:szCs w:val="21"/>
              </w:rPr>
              <w:fldChar w:fldCharType="separate"/>
            </w:r>
            <w:r>
              <w:rPr>
                <w:rFonts w:ascii="黑体" w:hAnsi="黑体" w:eastAsia="黑体"/>
                <w:sz w:val="21"/>
                <w:szCs w:val="21"/>
              </w:rPr>
              <w:t>C05</w:t>
            </w:r>
            <w:r>
              <w:rPr>
                <w:rFonts w:ascii="黑体" w:hAnsi="黑体" w:eastAsia="黑体"/>
                <w:sz w:val="21"/>
                <w:szCs w:val="21"/>
              </w:rPr>
              <w:fldChar w:fldCharType="end"/>
            </w:r>
            <w:bookmarkEnd w:id="2"/>
          </w:p>
        </w:tc>
      </w:tr>
    </w:tbl>
    <w:p w14:paraId="26B349E0">
      <w:pPr>
        <w:pStyle w:val="55"/>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广东省"/>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广东省</w:t>
      </w:r>
      <w:r>
        <w:rPr>
          <w:rFonts w:ascii="黑体" w:eastAsia="黑体"/>
          <w:b w:val="0"/>
          <w:w w:val="100"/>
          <w:sz w:val="48"/>
        </w:rPr>
        <w:fldChar w:fldCharType="end"/>
      </w:r>
      <w:bookmarkEnd w:id="4"/>
      <w:r>
        <w:rPr>
          <w:rFonts w:hint="eastAsia" w:ascii="黑体" w:eastAsia="黑体"/>
          <w:b w:val="0"/>
          <w:w w:val="100"/>
          <w:sz w:val="48"/>
        </w:rPr>
        <w:t>地方</w:t>
      </w:r>
      <w:r>
        <w:rPr>
          <w:rFonts w:hint="eastAsia" w:ascii="黑体" w:hAnsi="黑体" w:eastAsia="黑体"/>
          <w:b w:val="0"/>
          <w:bCs w:val="0"/>
          <w:w w:val="100"/>
          <w:sz w:val="48"/>
          <w:szCs w:val="48"/>
        </w:rPr>
        <w:t>标准</w:t>
      </w:r>
    </w:p>
    <w:bookmarkEnd w:id="3"/>
    <w:p w14:paraId="654A0CCC">
      <w:pPr>
        <w:pStyle w:val="200"/>
      </w:pPr>
      <w:r>
        <w:t xml:space="preserve">DB44/T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bookmarkStart w:id="6" w:name="NSTD_CODE_B"/>
      <w:r>
        <w:fldChar w:fldCharType="begin">
          <w:ffData>
            <w:name w:val="NSTD_CODE_B"/>
            <w:enabled/>
            <w:calcOnExit w:val="0"/>
            <w:textInput>
              <w:default w:val="2025"/>
            </w:textInput>
          </w:ffData>
        </w:fldChar>
      </w:r>
      <w:r>
        <w:instrText xml:space="preserve">FORMTEXT</w:instrText>
      </w:r>
      <w:r>
        <w:fldChar w:fldCharType="separate"/>
      </w:r>
      <w:r>
        <w:t>2025</w:t>
      </w:r>
      <w:r>
        <w:fldChar w:fldCharType="end"/>
      </w:r>
      <w:bookmarkEnd w:id="6"/>
    </w:p>
    <w:p w14:paraId="2B6640B2">
      <w:pPr>
        <w:pStyle w:val="201"/>
        <w:rPr>
          <w:rFonts w:hAnsi="黑体"/>
        </w:rPr>
      </w:pPr>
    </w:p>
    <w:p w14:paraId="6F5A8AA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816EEFA">
      <w:pPr>
        <w:pStyle w:val="55"/>
        <w:framePr w:w="9639" w:h="6976" w:hRule="exact" w:hSpace="0" w:vSpace="0" w:wrap="around" w:hAnchor="page" w:y="6408"/>
        <w:jc w:val="center"/>
        <w:rPr>
          <w:rFonts w:ascii="黑体" w:hAnsi="黑体" w:eastAsia="黑体"/>
          <w:b w:val="0"/>
          <w:bCs w:val="0"/>
          <w:w w:val="100"/>
        </w:rPr>
      </w:pPr>
    </w:p>
    <w:p w14:paraId="132A6B54">
      <w:pPr>
        <w:pStyle w:val="202"/>
        <w:framePr w:h="6974" w:hRule="exact" w:wrap="around" w:x="1419" w:anchorLock="1"/>
      </w:pPr>
      <w:r>
        <w:rPr>
          <w:rFonts w:hint="eastAsia"/>
        </w:rPr>
        <w:t>慢性心力衰竭患者</w:t>
      </w:r>
    </w:p>
    <w:p w14:paraId="1922F336">
      <w:pPr>
        <w:pStyle w:val="202"/>
        <w:framePr w:h="6974" w:hRule="exact" w:wrap="around" w:x="1419" w:anchorLock="1"/>
      </w:pPr>
      <w:r>
        <w:rPr>
          <w:rFonts w:hint="eastAsia"/>
        </w:rPr>
        <w:t xml:space="preserve">中西医结合慢病管理规范     </w:t>
      </w:r>
    </w:p>
    <w:p w14:paraId="29274DC1">
      <w:pPr>
        <w:pStyle w:val="202"/>
        <w:framePr w:h="6974" w:hRule="exact" w:wrap="around" w:x="1419" w:anchorLock="1"/>
      </w:pPr>
      <w:r>
        <w:rPr>
          <w:rFonts w:hint="eastAsia"/>
        </w:rPr>
        <w:t xml:space="preserve">  </w:t>
      </w:r>
    </w:p>
    <w:p w14:paraId="1868181B">
      <w:pPr>
        <w:framePr w:w="9639" w:h="6974" w:hRule="exact" w:wrap="around" w:vAnchor="page" w:hAnchor="page" w:x="1419" w:y="6408" w:anchorLock="1"/>
        <w:ind w:left="-1418"/>
      </w:pPr>
    </w:p>
    <w:p w14:paraId="08C8224A">
      <w:pPr>
        <w:pStyle w:val="130"/>
        <w:framePr w:w="9639" w:h="6974" w:hRule="exact" w:wrap="around" w:vAnchor="page" w:hAnchor="page" w:x="1419" w:y="6408" w:anchorLock="1"/>
        <w:textAlignment w:val="bottom"/>
        <w:rPr>
          <w:rFonts w:eastAsia="黑体"/>
          <w:szCs w:val="28"/>
        </w:rPr>
      </w:pPr>
      <w:r>
        <w:rPr>
          <w:rFonts w:hint="eastAsia" w:eastAsia="黑体"/>
          <w:szCs w:val="28"/>
        </w:rPr>
        <w:t>Management specification of chronic disease using integrated Chinese and Western medicine—chronic heart failure</w:t>
      </w:r>
    </w:p>
    <w:p w14:paraId="5CE093CA">
      <w:pPr>
        <w:framePr w:w="9639" w:h="6974" w:hRule="exact" w:wrap="around" w:vAnchor="page" w:hAnchor="page" w:x="1419" w:y="6408" w:anchorLock="1"/>
        <w:spacing w:line="760" w:lineRule="exact"/>
        <w:ind w:left="-1418"/>
      </w:pPr>
    </w:p>
    <w:p w14:paraId="1C3C8120">
      <w:pPr>
        <w:pStyle w:val="130"/>
        <w:framePr w:w="9639" w:h="6974" w:hRule="exact" w:wrap="around" w:vAnchor="page" w:hAnchor="page" w:x="1419" w:y="6408" w:anchorLock="1"/>
        <w:textAlignment w:val="bottom"/>
        <w:rPr>
          <w:rFonts w:eastAsia="黑体"/>
          <w:szCs w:val="28"/>
        </w:rPr>
      </w:pPr>
    </w:p>
    <w:p w14:paraId="6F016E5F">
      <w:pPr>
        <w:pStyle w:val="130"/>
        <w:framePr w:w="9639" w:h="6974" w:hRule="exact" w:wrap="around" w:vAnchor="page" w:hAnchor="page" w:x="1419" w:y="6408" w:anchorLock="1"/>
        <w:spacing w:before="440" w:after="160"/>
        <w:textAlignment w:val="bottom"/>
        <w:rPr>
          <w:sz w:val="24"/>
          <w:szCs w:val="28"/>
        </w:rPr>
      </w:pPr>
      <w:r>
        <w:rPr>
          <w:rFonts w:hint="eastAsia"/>
          <w:sz w:val="24"/>
          <w:szCs w:val="28"/>
        </w:rPr>
        <w:t>（送审稿）</w:t>
      </w:r>
    </w:p>
    <w:p w14:paraId="042AE6C1">
      <w:pPr>
        <w:pStyle w:val="130"/>
        <w:framePr w:w="9639" w:h="6974" w:hRule="exact" w:wrap="around" w:vAnchor="page" w:hAnchor="page" w:x="1419" w:y="6408" w:anchorLock="1"/>
        <w:spacing w:before="180" w:line="240" w:lineRule="atLeast"/>
        <w:textAlignment w:val="bottom"/>
        <w:rPr>
          <w:sz w:val="21"/>
          <w:szCs w:val="28"/>
        </w:rPr>
      </w:pPr>
      <w:r>
        <w:rPr>
          <w:rFonts w:hint="eastAsia"/>
          <w:sz w:val="21"/>
          <w:szCs w:val="28"/>
        </w:rPr>
        <w:t>（本草案完成时间：20</w:t>
      </w:r>
      <w:r>
        <w:rPr>
          <w:sz w:val="21"/>
          <w:szCs w:val="28"/>
        </w:rPr>
        <w:t>2</w:t>
      </w:r>
      <w:r>
        <w:rPr>
          <w:rFonts w:hint="eastAsia"/>
          <w:sz w:val="21"/>
          <w:szCs w:val="28"/>
        </w:rPr>
        <w:t>5-</w:t>
      </w:r>
      <w:r>
        <w:rPr>
          <w:sz w:val="21"/>
          <w:szCs w:val="28"/>
        </w:rPr>
        <w:t>1</w:t>
      </w:r>
      <w:r>
        <w:rPr>
          <w:rFonts w:hint="eastAsia"/>
          <w:sz w:val="21"/>
          <w:szCs w:val="28"/>
        </w:rPr>
        <w:t>-10）</w:t>
      </w:r>
    </w:p>
    <w:p w14:paraId="46F550C2">
      <w:pPr>
        <w:pStyle w:val="130"/>
        <w:framePr w:w="9639" w:h="6974" w:hRule="exact" w:wrap="around" w:vAnchor="page" w:hAnchor="page" w:x="1419" w:y="6408" w:anchorLock="1"/>
        <w:spacing w:before="720" w:beforeLines="300" w:after="72" w:afterLines="30" w:line="240" w:lineRule="auto"/>
        <w:textAlignment w:val="bottom"/>
        <w:rPr>
          <w:b/>
          <w:sz w:val="21"/>
          <w:szCs w:val="28"/>
        </w:rPr>
      </w:pPr>
    </w:p>
    <w:p w14:paraId="2173FD97">
      <w:pPr>
        <w:pStyle w:val="198"/>
        <w:framePr w:wrap="around" w:y="14176"/>
      </w:pPr>
      <w:bookmarkStart w:id="7" w:name="PLSH_DATE_Y"/>
      <w:r>
        <w:rPr>
          <w:rFonts w:ascii="黑体"/>
        </w:rPr>
        <w:fldChar w:fldCharType="begin">
          <w:ffData>
            <w:name w:val="PLSH_DATE_Y"/>
            <w:enabled/>
            <w:calcOnExit w:val="0"/>
            <w:textInput>
              <w:default w:val="2025"/>
              <w:maxLength w:val="4"/>
            </w:textInput>
          </w:ffData>
        </w:fldChar>
      </w:r>
      <w:r>
        <w:rPr>
          <w:rFonts w:ascii="黑体"/>
        </w:rPr>
        <w:instrText xml:space="preserve">FORMTEXT</w:instrText>
      </w:r>
      <w:r>
        <w:rPr>
          <w:rFonts w:ascii="黑体"/>
        </w:rPr>
        <w:fldChar w:fldCharType="separate"/>
      </w:r>
      <w:r>
        <w:rPr>
          <w:rFonts w:ascii="黑体"/>
        </w:rPr>
        <w:t>2025</w:t>
      </w:r>
      <w:r>
        <w:rPr>
          <w:rFonts w:ascii="黑体"/>
        </w:rPr>
        <w:fldChar w:fldCharType="end"/>
      </w:r>
      <w:bookmarkEnd w:id="7"/>
      <w:r>
        <w:rPr>
          <w:rFonts w:ascii="黑体"/>
        </w:rPr>
        <w:t>-</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ascii="黑体"/>
        </w:rPr>
        <w:t>-</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ascii="黑体"/>
        </w:rPr>
        <w:t xml:space="preserve"> </w:t>
      </w:r>
      <w:r>
        <w:rPr>
          <w:rFonts w:hint="eastAsia"/>
        </w:rPr>
        <w:t>发布</w:t>
      </w:r>
    </w:p>
    <w:p w14:paraId="5033324B">
      <w:pPr>
        <w:pStyle w:val="199"/>
        <w:framePr w:wrap="around" w:y="14176"/>
      </w:pPr>
      <w:bookmarkStart w:id="10" w:name="CROT_DATE_Y"/>
      <w:r>
        <w:rPr>
          <w:rFonts w:ascii="黑体"/>
        </w:rPr>
        <w:fldChar w:fldCharType="begin">
          <w:ffData>
            <w:name w:val="CROT_DATE_Y"/>
            <w:enabled/>
            <w:calcOnExit w:val="0"/>
            <w:textInput>
              <w:default w:val="2025"/>
              <w:maxLength w:val="4"/>
            </w:textInput>
          </w:ffData>
        </w:fldChar>
      </w:r>
      <w:r>
        <w:rPr>
          <w:rFonts w:ascii="黑体"/>
        </w:rPr>
        <w:instrText xml:space="preserve">FORMTEXT</w:instrText>
      </w:r>
      <w:r>
        <w:rPr>
          <w:rFonts w:ascii="黑体"/>
        </w:rPr>
        <w:fldChar w:fldCharType="separate"/>
      </w:r>
      <w:r>
        <w:rPr>
          <w:rFonts w:ascii="黑体"/>
        </w:rPr>
        <w:t>2025</w:t>
      </w:r>
      <w:r>
        <w:rPr>
          <w:rFonts w:ascii="黑体"/>
        </w:rPr>
        <w:fldChar w:fldCharType="end"/>
      </w:r>
      <w:bookmarkEnd w:id="10"/>
      <w:r>
        <w:rPr>
          <w:rFonts w:ascii="黑体"/>
        </w:rPr>
        <w:t>-</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ascii="黑体"/>
        </w:rPr>
        <w:t>-</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ascii="黑体"/>
        </w:rPr>
        <w:t xml:space="preserve"> </w:t>
      </w:r>
      <w:r>
        <w:rPr>
          <w:rFonts w:hint="eastAsia"/>
        </w:rPr>
        <w:t>实施</w:t>
      </w:r>
    </w:p>
    <w:p w14:paraId="487799F4">
      <w:pPr>
        <w:pStyle w:val="156"/>
        <w:framePr w:h="584" w:hRule="exact" w:hSpace="181" w:vSpace="181" w:wrap="around" w:y="14800"/>
        <w:rPr>
          <w:rFonts w:hAnsi="黑体"/>
        </w:rPr>
      </w:pPr>
      <w:r>
        <w:rPr>
          <w:rFonts w:hAnsi="黑体"/>
          <w:w w:val="100"/>
          <w:sz w:val="32"/>
          <w:szCs w:val="32"/>
        </w:rPr>
        <w:fldChar w:fldCharType="begin">
          <w:ffData>
            <w:name w:val="fm"/>
            <w:enabled/>
            <w:calcOnExit w:val="0"/>
            <w:textInput>
              <w:default w:val="广东省市场监督管理局"/>
            </w:textInput>
          </w:ffData>
        </w:fldChar>
      </w:r>
      <w:bookmarkStart w:id="13" w:name="fm"/>
      <w:r>
        <w:rPr>
          <w:rFonts w:hAnsi="黑体"/>
          <w:w w:val="100"/>
          <w:sz w:val="32"/>
          <w:szCs w:val="32"/>
        </w:rPr>
        <w:instrText xml:space="preserve"> FORMTEXT </w:instrText>
      </w:r>
      <w:r>
        <w:rPr>
          <w:rFonts w:hAnsi="黑体"/>
          <w:w w:val="100"/>
          <w:sz w:val="32"/>
          <w:szCs w:val="32"/>
        </w:rPr>
        <w:fldChar w:fldCharType="separate"/>
      </w:r>
      <w:r>
        <w:rPr>
          <w:rFonts w:hAnsi="黑体"/>
          <w:w w:val="100"/>
          <w:sz w:val="32"/>
          <w:szCs w:val="32"/>
        </w:rPr>
        <w:t>广东省市场监督管理局</w:t>
      </w:r>
      <w:r>
        <w:rPr>
          <w:rFonts w:hAnsi="黑体"/>
          <w:w w:val="100"/>
          <w:sz w:val="32"/>
          <w:szCs w:val="32"/>
        </w:rPr>
        <w:fldChar w:fldCharType="end"/>
      </w:r>
      <w:bookmarkEnd w:id="13"/>
      <w:r>
        <w:rPr>
          <w:rFonts w:ascii="Times New Roman"/>
          <w:w w:val="100"/>
          <w:sz w:val="28"/>
        </w:rPr>
        <w:t>  </w:t>
      </w:r>
      <w:r>
        <w:rPr>
          <w:rStyle w:val="234"/>
          <w:rFonts w:hint="eastAsia" w:hAnsi="黑体"/>
          <w:position w:val="0"/>
        </w:rPr>
        <w:t>发</w:t>
      </w:r>
      <w:r>
        <w:rPr>
          <w:rStyle w:val="234"/>
          <w:rFonts w:hint="eastAsia" w:hAnsi="黑体"/>
          <w:spacing w:val="0"/>
          <w:position w:val="0"/>
        </w:rPr>
        <w:t>布</w:t>
      </w:r>
    </w:p>
    <w:p w14:paraId="1454094C">
      <w:pPr>
        <w:spacing w:after="360"/>
        <w:rPr>
          <w:spacing w:val="320"/>
        </w:rPr>
        <w:sectPr>
          <w:headerReference r:id="rId5" w:type="default"/>
          <w:footerReference r:id="rId7" w:type="default"/>
          <w:headerReference r:id="rId6" w:type="even"/>
          <w:footerReference r:id="rId8" w:type="even"/>
          <w:pgSz w:w="11906" w:h="16838"/>
          <w:pgMar w:top="2410" w:right="1134" w:bottom="1134" w:left="1134" w:header="1418" w:footer="1134" w:gutter="284"/>
          <w:pgNumType w:fmt="upperRoman" w:start="1"/>
          <w:cols w:space="425" w:num="1"/>
          <w:formProt w:val="0"/>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bookmarkStart w:id="14" w:name="BookMark1"/>
      <w:bookmarkStart w:id="15" w:name="_Toc91513478"/>
      <w:bookmarkStart w:id="16" w:name="_Toc91513403"/>
      <w:bookmarkStart w:id="17" w:name="_Toc91516491"/>
      <w:bookmarkStart w:id="18" w:name="_Toc91513415"/>
    </w:p>
    <w:p w14:paraId="346B58C0">
      <w:pPr>
        <w:pStyle w:val="96"/>
        <w:spacing w:after="360"/>
      </w:pPr>
      <w:bookmarkStart w:id="19" w:name="_Hlk97499017"/>
      <w:r>
        <w:rPr>
          <w:rFonts w:hint="eastAsia"/>
          <w:spacing w:val="320"/>
        </w:rPr>
        <w:t>目</w:t>
      </w:r>
      <w:r>
        <w:rPr>
          <w:rFonts w:hint="eastAsia"/>
        </w:rPr>
        <w:t>次</w:t>
      </w:r>
    </w:p>
    <w:bookmarkEnd w:id="19"/>
    <w:p w14:paraId="677FA464">
      <w:pPr>
        <w:pStyle w:val="21"/>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"_Toc97885740" </w:instrText>
      </w:r>
      <w:r>
        <w:fldChar w:fldCharType="separate"/>
      </w:r>
      <w:r>
        <w:rPr>
          <w:rStyle w:val="35"/>
        </w:rPr>
        <w:t>前言</w:t>
      </w:r>
      <w:r>
        <w:tab/>
      </w:r>
      <w:r>
        <w:fldChar w:fldCharType="begin"/>
      </w:r>
      <w:r>
        <w:instrText xml:space="preserve"> PAGEREF _Toc97885740 \h </w:instrText>
      </w:r>
      <w:r>
        <w:fldChar w:fldCharType="separate"/>
      </w:r>
      <w:r>
        <w:t>III</w:t>
      </w:r>
      <w:r>
        <w:fldChar w:fldCharType="end"/>
      </w:r>
      <w:r>
        <w:fldChar w:fldCharType="end"/>
      </w:r>
    </w:p>
    <w:p w14:paraId="14C449BD">
      <w:pPr>
        <w:pStyle w:val="21"/>
        <w:tabs>
          <w:tab w:val="right" w:leader="dot" w:pos="9344"/>
        </w:tabs>
        <w:rPr>
          <w:rFonts w:asciiTheme="minorHAnsi" w:hAnsiTheme="minorHAnsi" w:eastAsiaTheme="minorEastAsia" w:cstheme="minorBidi"/>
          <w:szCs w:val="22"/>
        </w:rPr>
      </w:pPr>
      <w:r>
        <w:fldChar w:fldCharType="begin"/>
      </w:r>
      <w:r>
        <w:instrText xml:space="preserve"> HYPERLINK \l "_Toc97885741" </w:instrText>
      </w:r>
      <w:r>
        <w:fldChar w:fldCharType="separate"/>
      </w:r>
      <w:r>
        <w:rPr>
          <w:rStyle w:val="35"/>
        </w:rPr>
        <w:t>引言</w:t>
      </w:r>
      <w:r>
        <w:tab/>
      </w:r>
      <w:r>
        <w:fldChar w:fldCharType="begin"/>
      </w:r>
      <w:r>
        <w:instrText xml:space="preserve"> PAGEREF _Toc97885741 \h </w:instrText>
      </w:r>
      <w:r>
        <w:fldChar w:fldCharType="separate"/>
      </w:r>
      <w:r>
        <w:t>IV</w:t>
      </w:r>
      <w:r>
        <w:fldChar w:fldCharType="end"/>
      </w:r>
      <w:r>
        <w:fldChar w:fldCharType="end"/>
      </w:r>
    </w:p>
    <w:p w14:paraId="4D637159">
      <w:pPr>
        <w:pStyle w:val="21"/>
        <w:tabs>
          <w:tab w:val="right" w:leader="dot" w:pos="9344"/>
        </w:tabs>
        <w:rPr>
          <w:rFonts w:asciiTheme="minorHAnsi" w:hAnsiTheme="minorHAnsi" w:eastAsiaTheme="minorEastAsia" w:cstheme="minorBidi"/>
          <w:szCs w:val="22"/>
        </w:rPr>
      </w:pPr>
      <w:r>
        <w:fldChar w:fldCharType="begin"/>
      </w:r>
      <w:r>
        <w:instrText xml:space="preserve"> HYPERLINK \l "_Toc97885742" </w:instrText>
      </w:r>
      <w:r>
        <w:fldChar w:fldCharType="separate"/>
      </w:r>
      <w:r>
        <w:rPr>
          <w:rStyle w:val="35"/>
        </w:rPr>
        <w:t>1 范围</w:t>
      </w:r>
      <w:r>
        <w:tab/>
      </w:r>
      <w:r>
        <w:fldChar w:fldCharType="begin"/>
      </w:r>
      <w:r>
        <w:instrText xml:space="preserve"> PAGEREF _Toc97885742 \h </w:instrText>
      </w:r>
      <w:r>
        <w:fldChar w:fldCharType="separate"/>
      </w:r>
      <w:r>
        <w:t>1</w:t>
      </w:r>
      <w:r>
        <w:fldChar w:fldCharType="end"/>
      </w:r>
      <w:r>
        <w:fldChar w:fldCharType="end"/>
      </w:r>
    </w:p>
    <w:p w14:paraId="691890B6">
      <w:pPr>
        <w:pStyle w:val="21"/>
        <w:tabs>
          <w:tab w:val="right" w:leader="dot" w:pos="9344"/>
        </w:tabs>
        <w:rPr>
          <w:rFonts w:asciiTheme="minorHAnsi" w:hAnsiTheme="minorHAnsi" w:eastAsiaTheme="minorEastAsia" w:cstheme="minorBidi"/>
          <w:szCs w:val="22"/>
        </w:rPr>
      </w:pPr>
      <w:r>
        <w:fldChar w:fldCharType="begin"/>
      </w:r>
      <w:r>
        <w:instrText xml:space="preserve"> HYPERLINK \l "_Toc97885743" </w:instrText>
      </w:r>
      <w:r>
        <w:fldChar w:fldCharType="separate"/>
      </w:r>
      <w:r>
        <w:rPr>
          <w:rStyle w:val="35"/>
        </w:rPr>
        <w:t>2 规范性引用文件</w:t>
      </w:r>
      <w:r>
        <w:tab/>
      </w:r>
      <w:r>
        <w:fldChar w:fldCharType="begin"/>
      </w:r>
      <w:r>
        <w:instrText xml:space="preserve"> PAGEREF _Toc97885743 \h </w:instrText>
      </w:r>
      <w:r>
        <w:fldChar w:fldCharType="separate"/>
      </w:r>
      <w:r>
        <w:t>1</w:t>
      </w:r>
      <w:r>
        <w:fldChar w:fldCharType="end"/>
      </w:r>
      <w:r>
        <w:fldChar w:fldCharType="end"/>
      </w:r>
    </w:p>
    <w:p w14:paraId="270FE7A4">
      <w:pPr>
        <w:pStyle w:val="21"/>
        <w:tabs>
          <w:tab w:val="right" w:leader="dot" w:pos="9344"/>
        </w:tabs>
        <w:rPr>
          <w:rFonts w:asciiTheme="minorHAnsi" w:hAnsiTheme="minorHAnsi" w:eastAsiaTheme="minorEastAsia" w:cstheme="minorBidi"/>
          <w:szCs w:val="22"/>
        </w:rPr>
      </w:pPr>
      <w:r>
        <w:fldChar w:fldCharType="begin"/>
      </w:r>
      <w:r>
        <w:instrText xml:space="preserve"> HYPERLINK \l "_Toc97885744" </w:instrText>
      </w:r>
      <w:r>
        <w:fldChar w:fldCharType="separate"/>
      </w:r>
      <w:r>
        <w:rPr>
          <w:rStyle w:val="35"/>
        </w:rPr>
        <w:t>3 术语和定义</w:t>
      </w:r>
      <w:r>
        <w:tab/>
      </w:r>
      <w:r>
        <w:fldChar w:fldCharType="begin"/>
      </w:r>
      <w:r>
        <w:instrText xml:space="preserve"> PAGEREF _Toc97885744 \h </w:instrText>
      </w:r>
      <w:r>
        <w:fldChar w:fldCharType="separate"/>
      </w:r>
      <w:r>
        <w:t>1</w:t>
      </w:r>
      <w:r>
        <w:fldChar w:fldCharType="end"/>
      </w:r>
      <w:r>
        <w:fldChar w:fldCharType="end"/>
      </w:r>
    </w:p>
    <w:p w14:paraId="7B67388A">
      <w:pPr>
        <w:pStyle w:val="21"/>
        <w:tabs>
          <w:tab w:val="right" w:leader="dot" w:pos="9344"/>
        </w:tabs>
        <w:rPr>
          <w:rFonts w:asciiTheme="minorHAnsi" w:hAnsiTheme="minorHAnsi" w:eastAsiaTheme="minorEastAsia" w:cstheme="minorBidi"/>
          <w:szCs w:val="22"/>
        </w:rPr>
      </w:pPr>
      <w:r>
        <w:fldChar w:fldCharType="begin"/>
      </w:r>
      <w:r>
        <w:instrText xml:space="preserve"> HYPERLINK \l "_Toc97885745" </w:instrText>
      </w:r>
      <w:r>
        <w:fldChar w:fldCharType="separate"/>
      </w:r>
      <w:r>
        <w:rPr>
          <w:rStyle w:val="35"/>
        </w:rPr>
        <w:t xml:space="preserve">4 </w:t>
      </w:r>
      <w:r>
        <w:rPr>
          <w:rFonts w:hint="eastAsia"/>
        </w:rPr>
        <w:t>服务要求</w:t>
      </w:r>
      <w:r>
        <w:tab/>
      </w:r>
      <w:r>
        <w:rPr>
          <w:rFonts w:hint="eastAsia"/>
        </w:rPr>
        <w:t>1</w:t>
      </w:r>
      <w:r>
        <w:rPr>
          <w:rFonts w:hint="eastAsia"/>
        </w:rPr>
        <w:fldChar w:fldCharType="end"/>
      </w:r>
    </w:p>
    <w:p w14:paraId="6C504AD2">
      <w:pPr>
        <w:pStyle w:val="21"/>
        <w:tabs>
          <w:tab w:val="right" w:leader="dot" w:pos="9344"/>
        </w:tabs>
        <w:rPr>
          <w:rFonts w:asciiTheme="minorHAnsi" w:hAnsiTheme="minorHAnsi" w:eastAsiaTheme="minorEastAsia" w:cstheme="minorBidi"/>
          <w:szCs w:val="22"/>
        </w:rPr>
      </w:pPr>
      <w:r>
        <w:fldChar w:fldCharType="begin"/>
      </w:r>
      <w:r>
        <w:instrText xml:space="preserve"> HYPERLINK \l "_Toc97885749" </w:instrText>
      </w:r>
      <w:r>
        <w:fldChar w:fldCharType="separate"/>
      </w:r>
      <w:r>
        <w:rPr>
          <w:rStyle w:val="35"/>
        </w:rPr>
        <w:t xml:space="preserve">5 </w:t>
      </w:r>
      <w:r>
        <w:rPr>
          <w:rFonts w:hint="eastAsia"/>
        </w:rPr>
        <w:t>中西医结合慢病管理程序</w:t>
      </w:r>
      <w:r>
        <w:tab/>
      </w:r>
      <w:r>
        <w:rPr>
          <w:rFonts w:hint="eastAsia"/>
        </w:rPr>
        <w:t>1</w:t>
      </w:r>
      <w:r>
        <w:rPr>
          <w:rFonts w:hint="eastAsia"/>
        </w:rPr>
        <w:fldChar w:fldCharType="end"/>
      </w:r>
    </w:p>
    <w:p w14:paraId="7CA3807F">
      <w:pPr>
        <w:pStyle w:val="21"/>
        <w:tabs>
          <w:tab w:val="right" w:leader="dot" w:pos="9344"/>
        </w:tabs>
      </w:pPr>
      <w:r>
        <w:fldChar w:fldCharType="begin"/>
      </w:r>
      <w:r>
        <w:instrText xml:space="preserve"> HYPERLINK \l "_Toc97885752" </w:instrText>
      </w:r>
      <w:r>
        <w:fldChar w:fldCharType="separate"/>
      </w:r>
      <w:r>
        <w:rPr>
          <w:rStyle w:val="35"/>
        </w:rPr>
        <w:t xml:space="preserve">6 </w:t>
      </w:r>
      <w:r>
        <w:rPr>
          <w:rFonts w:hint="eastAsia"/>
        </w:rPr>
        <w:t>慢性心力衰竭中西医结合慢病管理</w:t>
      </w:r>
      <w:r>
        <w:tab/>
      </w:r>
      <w:r>
        <w:rPr>
          <w:rFonts w:hint="eastAsia"/>
        </w:rPr>
        <w:t>2</w:t>
      </w:r>
      <w:r>
        <w:rPr>
          <w:rFonts w:hint="eastAsia"/>
        </w:rPr>
        <w:fldChar w:fldCharType="end"/>
      </w:r>
    </w:p>
    <w:p w14:paraId="4B7D6E49">
      <w:pPr>
        <w:pStyle w:val="21"/>
        <w:tabs>
          <w:tab w:val="right" w:leader="dot" w:pos="9344"/>
        </w:tabs>
        <w:rPr>
          <w:rFonts w:asciiTheme="minorHAnsi" w:hAnsiTheme="minorHAnsi" w:eastAsiaTheme="minorEastAsia" w:cstheme="minorBidi"/>
          <w:szCs w:val="22"/>
        </w:rPr>
      </w:pPr>
      <w:r>
        <w:fldChar w:fldCharType="begin"/>
      </w:r>
      <w:r>
        <w:instrText xml:space="preserve"> HYPERLINK \l "_Toc97885768" </w:instrText>
      </w:r>
      <w:r>
        <w:fldChar w:fldCharType="separate"/>
      </w:r>
      <w:r>
        <w:rPr>
          <w:rStyle w:val="35"/>
          <w:spacing w:val="105"/>
        </w:rPr>
        <w:t>参考文</w:t>
      </w:r>
      <w:r>
        <w:rPr>
          <w:rStyle w:val="35"/>
        </w:rPr>
        <w:t>献</w:t>
      </w:r>
      <w:r>
        <w:tab/>
      </w:r>
      <w:r>
        <w:rPr>
          <w:rFonts w:hint="eastAsia"/>
        </w:rPr>
        <w:t>6</w:t>
      </w:r>
      <w:r>
        <w:rPr>
          <w:rFonts w:hint="eastAsia"/>
        </w:rPr>
        <w:fldChar w:fldCharType="end"/>
      </w:r>
    </w:p>
    <w:p w14:paraId="12B81293">
      <w:pPr>
        <w:pStyle w:val="61"/>
        <w:spacing w:line="300" w:lineRule="exact"/>
        <w:ind w:firstLine="420"/>
      </w:pPr>
      <w:r>
        <w:fldChar w:fldCharType="end"/>
      </w:r>
      <w:bookmarkStart w:id="20" w:name="muci"/>
      <w:bookmarkEnd w:id="20"/>
      <w:r>
        <w:fldChar w:fldCharType="begin"/>
      </w:r>
      <w:r>
        <w:instrText xml:space="preserve"> TOC \o "9-9" \h \t "标准文件_正文表标题,1,标准文件_附录表标题,1" </w:instrText>
      </w:r>
      <w:r>
        <w:fldChar w:fldCharType="separate"/>
      </w:r>
    </w:p>
    <w:p w14:paraId="0306F1C6">
      <w:pPr>
        <w:pStyle w:val="61"/>
        <w:spacing w:after="360" w:line="300" w:lineRule="exact"/>
        <w:ind w:firstLine="420"/>
        <w:rPr>
          <w:spacing w:val="320"/>
        </w:rPr>
        <w:sectPr>
          <w:headerReference r:id="rId9" w:type="default"/>
          <w:footerReference r:id="rId10" w:type="default"/>
          <w:footerReference r:id="rId11" w:type="even"/>
          <w:pgSz w:w="11906" w:h="16838"/>
          <w:pgMar w:top="2410" w:right="1134" w:bottom="1134" w:left="1134" w:header="1418" w:footer="1134" w:gutter="284"/>
          <w:pgNumType w:fmt="upperRoman"/>
          <w:cols w:space="425" w:num="1"/>
          <w:formProt w:val="0"/>
          <w:docGrid w:linePitch="312" w:charSpace="0"/>
        </w:sectPr>
      </w:pPr>
      <w:r>
        <w:fldChar w:fldCharType="end"/>
      </w:r>
      <w:bookmarkEnd w:id="14"/>
      <w:bookmarkStart w:id="21" w:name="BookMark2"/>
    </w:p>
    <w:p w14:paraId="5114C3FB">
      <w:pPr>
        <w:pStyle w:val="94"/>
        <w:spacing w:after="360"/>
        <w:ind w:left="3826" w:leftChars="1822" w:right="4250" w:rightChars="2024" w:firstLine="0"/>
        <w:jc w:val="distribute"/>
      </w:pPr>
      <w:bookmarkStart w:id="22" w:name="_Toc97885740"/>
      <w:r>
        <w:t>前言</w:t>
      </w:r>
      <w:bookmarkEnd w:id="15"/>
      <w:bookmarkEnd w:id="16"/>
      <w:bookmarkEnd w:id="17"/>
      <w:bookmarkEnd w:id="18"/>
      <w:bookmarkEnd w:id="22"/>
    </w:p>
    <w:p w14:paraId="670577F2">
      <w:pPr>
        <w:pStyle w:val="61"/>
        <w:spacing w:line="400" w:lineRule="exact"/>
        <w:ind w:firstLine="420"/>
      </w:pPr>
      <w:r>
        <w:rPr>
          <w:rFonts w:hint="eastAsia"/>
        </w:rPr>
        <w:t>本文件按照GB/T 1.1—2020《标准化工作导则  第1部分：标准化文件的结构和起草规则》的规定起草。</w:t>
      </w:r>
    </w:p>
    <w:p w14:paraId="310BF84F">
      <w:pPr>
        <w:pStyle w:val="61"/>
        <w:spacing w:line="400" w:lineRule="exact"/>
        <w:ind w:firstLine="420"/>
      </w:pPr>
      <w:r>
        <w:rPr>
          <w:rFonts w:hint="eastAsia"/>
        </w:rPr>
        <w:t>请注意本文件的某些内容可能涉及专利。本文件的发布机构不承担识别专利的责任。</w:t>
      </w:r>
    </w:p>
    <w:p w14:paraId="07F5E9C9">
      <w:pPr>
        <w:pStyle w:val="61"/>
        <w:spacing w:line="400" w:lineRule="exact"/>
        <w:ind w:firstLine="420"/>
      </w:pPr>
      <w:r>
        <w:rPr>
          <w:rFonts w:hint="eastAsia"/>
        </w:rPr>
        <w:t>本文件由广东省中医药局提出并组织实施。</w:t>
      </w:r>
    </w:p>
    <w:p w14:paraId="2B0ED229">
      <w:pPr>
        <w:pStyle w:val="61"/>
        <w:spacing w:line="400" w:lineRule="exact"/>
        <w:ind w:firstLine="420"/>
      </w:pPr>
      <w:r>
        <w:rPr>
          <w:rFonts w:hint="eastAsia"/>
        </w:rPr>
        <w:t>本文件由广东省中医标准化技术委员会（GD/TC 31）归口。</w:t>
      </w:r>
    </w:p>
    <w:p w14:paraId="15F7BCC1">
      <w:pPr>
        <w:pStyle w:val="61"/>
        <w:spacing w:line="400" w:lineRule="exact"/>
        <w:ind w:firstLine="420"/>
      </w:pPr>
      <w:r>
        <w:rPr>
          <w:rFonts w:hint="eastAsia"/>
        </w:rPr>
        <w:t>本文件起草单位：广东省中医院（广州中医药大学第二附属医院）、南方医科大学南方医院、广东省人民医院。</w:t>
      </w:r>
    </w:p>
    <w:p w14:paraId="074109CB">
      <w:pPr>
        <w:pStyle w:val="61"/>
        <w:spacing w:line="400" w:lineRule="exact"/>
        <w:ind w:firstLine="420"/>
      </w:pPr>
      <w:r>
        <w:rPr>
          <w:rFonts w:hint="eastAsia"/>
        </w:rPr>
        <w:t>本文件主要起草人：陈日宇、赵经营、陈静薇、林小丽、张广清、吕渭辉、许文静、曾雨、范云香、林丽霞、朱珲莹、萧蕙、滕中华、谢秀丽、陈笑银、庾浩坚、</w:t>
      </w:r>
      <w:r>
        <w:rPr>
          <w:rFonts w:hint="eastAsia" w:hAnsi="宋体"/>
          <w:color w:val="000000"/>
          <w:szCs w:val="21"/>
        </w:rPr>
        <w:t>詹敏淇</w:t>
      </w:r>
      <w:r>
        <w:rPr>
          <w:rFonts w:hint="eastAsia"/>
        </w:rPr>
        <w:t>。</w:t>
      </w:r>
    </w:p>
    <w:p w14:paraId="2CD6E520">
      <w:pPr>
        <w:pStyle w:val="61"/>
        <w:ind w:firstLine="420"/>
      </w:pPr>
    </w:p>
    <w:p w14:paraId="127C5A6E">
      <w:pPr>
        <w:pStyle w:val="61"/>
        <w:ind w:firstLine="420"/>
        <w:sectPr>
          <w:type w:val="oddPage"/>
          <w:pgSz w:w="11906" w:h="16838"/>
          <w:pgMar w:top="2410" w:right="1134" w:bottom="1134" w:left="1134" w:header="1418" w:footer="1134" w:gutter="284"/>
          <w:pgNumType w:fmt="upperRoman"/>
          <w:cols w:space="425" w:num="1"/>
          <w:formProt w:val="0"/>
          <w:docGrid w:linePitch="312" w:charSpace="0"/>
        </w:sectPr>
      </w:pPr>
    </w:p>
    <w:bookmarkEnd w:id="21"/>
    <w:p w14:paraId="2EF666E2">
      <w:pPr>
        <w:pStyle w:val="94"/>
        <w:spacing w:after="360"/>
        <w:ind w:left="3826" w:leftChars="1822" w:right="4250" w:rightChars="2024" w:firstLine="0"/>
        <w:jc w:val="distribute"/>
      </w:pPr>
      <w:bookmarkStart w:id="23" w:name="_Toc91513479"/>
      <w:bookmarkStart w:id="24" w:name="_Toc91516492"/>
      <w:bookmarkStart w:id="25" w:name="_Toc91513404"/>
      <w:bookmarkStart w:id="26" w:name="_Toc97885741"/>
      <w:bookmarkStart w:id="27" w:name="_Toc91513416"/>
      <w:bookmarkStart w:id="28" w:name="BookMark3"/>
      <w:r>
        <w:t>引言</w:t>
      </w:r>
      <w:bookmarkEnd w:id="23"/>
      <w:bookmarkEnd w:id="24"/>
      <w:bookmarkEnd w:id="25"/>
      <w:bookmarkEnd w:id="26"/>
      <w:bookmarkEnd w:id="27"/>
    </w:p>
    <w:p w14:paraId="395AF8D7">
      <w:pPr>
        <w:pStyle w:val="61"/>
        <w:spacing w:line="400" w:lineRule="exact"/>
        <w:ind w:firstLine="420"/>
      </w:pPr>
      <w:r>
        <w:rPr>
          <w:rFonts w:hint="eastAsia"/>
        </w:rPr>
        <w:t>慢性心力衰竭是因心脏结构和（或）功能的异常改变,导致心肌重构，使心室收缩和/或舒张功能发生障碍而产生的一组复杂临床综合征，其预后差且病程易反复，严重影响患者生活质量。随着医学的发展，研究表明，慢性心力衰竭综合治疗水平的提高，使心力衰竭死亡率较前下降，但其住院率仍居高不下，病人出院后1年内的累积再住院率为34.3%，这对患者家庭及社会造成了沉重经济负担。在规范治疗基础上如何进一步降低心力衰竭再住院率、病死率已成为研究的重点。有Meta分析表明，通过有效的慢性病管理可使心力衰竭病人因心血管疾病再住院率降低30%，全因再住院率下降12%,住院及死亡联合终点事件下降18%。因此,慢性病管理在心衰患者中发挥着重要作用。</w:t>
      </w:r>
    </w:p>
    <w:p w14:paraId="238C520F">
      <w:pPr>
        <w:pStyle w:val="61"/>
        <w:spacing w:line="400" w:lineRule="exact"/>
        <w:ind w:firstLine="420"/>
      </w:pPr>
      <w:r>
        <w:rPr>
          <w:rFonts w:hint="eastAsia"/>
        </w:rPr>
        <w:t>目前，临床上实施的慢性心力衰竭中西医结合慢病管理规范，尚存在慢病管理的方法、健康宣教和跟踪随访的内容和方式描述不详尽等问题，在省内乃至国内尚缺乏统一的规范供管理者遵循和参考，不利于对该管理的有效监管和评估。因此我们运用循证医学，拟定本标准，规范慢性心力衰竭患者的中西医结合慢病管理。</w:t>
      </w:r>
    </w:p>
    <w:p w14:paraId="008057BF">
      <w:pPr>
        <w:pStyle w:val="61"/>
        <w:spacing w:line="400" w:lineRule="exact"/>
        <w:ind w:firstLine="420"/>
      </w:pPr>
      <w:r>
        <w:rPr>
          <w:rFonts w:hint="eastAsia"/>
        </w:rPr>
        <w:t>本标准为推荐性标准，慢病管理人员应用时应强调灵活应用，不能机械照搬，应根据实际情况、医生自身的经验及患者的具体病情做出临床决策。</w:t>
      </w:r>
    </w:p>
    <w:p w14:paraId="11C45684">
      <w:pPr>
        <w:pStyle w:val="61"/>
        <w:spacing w:line="400" w:lineRule="exact"/>
        <w:ind w:firstLine="420"/>
      </w:pPr>
    </w:p>
    <w:p w14:paraId="3CC45CD8">
      <w:pPr>
        <w:pStyle w:val="61"/>
        <w:ind w:firstLine="420"/>
        <w:sectPr>
          <w:pgSz w:w="11906" w:h="16838"/>
          <w:pgMar w:top="2410" w:right="1134" w:bottom="1134" w:left="1134" w:header="1418" w:footer="1134" w:gutter="284"/>
          <w:pgNumType w:fmt="upperRoman"/>
          <w:cols w:space="425" w:num="1"/>
          <w:formProt w:val="0"/>
          <w:docGrid w:linePitch="312" w:charSpace="0"/>
        </w:sectPr>
      </w:pPr>
    </w:p>
    <w:bookmarkEnd w:id="28"/>
    <w:p w14:paraId="163FB50B">
      <w:pPr>
        <w:spacing w:line="20" w:lineRule="exact"/>
        <w:jc w:val="center"/>
        <w:rPr>
          <w:rFonts w:ascii="黑体" w:hAnsi="黑体" w:eastAsia="黑体"/>
          <w:sz w:val="32"/>
          <w:szCs w:val="32"/>
        </w:rPr>
      </w:pPr>
      <w:bookmarkStart w:id="29" w:name="BookMark4"/>
    </w:p>
    <w:p w14:paraId="7C30B538">
      <w:pPr>
        <w:spacing w:line="20" w:lineRule="exact"/>
        <w:jc w:val="center"/>
        <w:rPr>
          <w:rFonts w:ascii="黑体" w:hAnsi="黑体" w:eastAsia="黑体"/>
          <w:sz w:val="32"/>
          <w:szCs w:val="32"/>
        </w:rPr>
      </w:pPr>
    </w:p>
    <w:sdt>
      <w:sdtPr>
        <w:tag w:val="NEW_STAND_NAME"/>
        <w:id w:val="595910757"/>
        <w:lock w:val="sdtLocked"/>
        <w:placeholder>
          <w:docPart w:val="4C4821467A3B4DB589874826D41FF7B1"/>
        </w:placeholder>
      </w:sdtPr>
      <w:sdtContent>
        <w:p w14:paraId="38804BFC">
          <w:pPr>
            <w:pStyle w:val="182"/>
            <w:spacing w:before="2" w:beforeLines="1" w:after="528" w:afterLines="220"/>
          </w:pPr>
          <w:bookmarkStart w:id="30" w:name="NEW_STAND_NAME"/>
          <w:r>
            <w:rPr>
              <w:rFonts w:hint="eastAsia"/>
            </w:rPr>
            <w:t>慢性心力衰竭患者中西医结合慢病管理规范</w:t>
          </w:r>
        </w:p>
      </w:sdtContent>
    </w:sdt>
    <w:bookmarkEnd w:id="30"/>
    <w:p w14:paraId="653DE61B">
      <w:pPr>
        <w:pStyle w:val="109"/>
        <w:spacing w:before="240" w:after="240"/>
      </w:pPr>
      <w:bookmarkStart w:id="31" w:name="_Toc91513480"/>
      <w:bookmarkStart w:id="32" w:name="_Toc24884211"/>
      <w:bookmarkStart w:id="33" w:name="_Toc91516493"/>
      <w:bookmarkStart w:id="34" w:name="_Toc26986771"/>
      <w:bookmarkStart w:id="35" w:name="_Toc26648465"/>
      <w:bookmarkStart w:id="36" w:name="_Toc24884218"/>
      <w:bookmarkStart w:id="37" w:name="_Toc91513417"/>
      <w:bookmarkStart w:id="38" w:name="_Toc91496116"/>
      <w:bookmarkStart w:id="39" w:name="_Toc17233325"/>
      <w:bookmarkStart w:id="40" w:name="_Toc97885742"/>
      <w:bookmarkStart w:id="41" w:name="_Toc91513405"/>
      <w:bookmarkStart w:id="42" w:name="_Toc17233333"/>
      <w:bookmarkStart w:id="43" w:name="_Toc26718930"/>
      <w:bookmarkStart w:id="44" w:name="_Toc269865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27E4C5D">
      <w:pPr>
        <w:pStyle w:val="61"/>
        <w:spacing w:line="400" w:lineRule="exact"/>
        <w:ind w:firstLine="420"/>
      </w:pPr>
      <w:bookmarkStart w:id="45" w:name="_Toc24884219"/>
      <w:bookmarkStart w:id="46" w:name="_Toc24884212"/>
      <w:bookmarkStart w:id="47" w:name="_Toc26648466"/>
      <w:bookmarkStart w:id="48" w:name="_Toc17233334"/>
      <w:bookmarkStart w:id="49" w:name="_Toc17233326"/>
      <w:r>
        <w:rPr>
          <w:rFonts w:hint="eastAsia"/>
        </w:rPr>
        <w:t>本文件规定了慢性心力衰竭患者中西医结合慢病管理的管理程序、管理内容及跟踪随访等。</w:t>
      </w:r>
    </w:p>
    <w:p w14:paraId="00C744BA">
      <w:pPr>
        <w:pStyle w:val="61"/>
        <w:spacing w:line="400" w:lineRule="exact"/>
        <w:ind w:firstLine="420"/>
      </w:pPr>
      <w:r>
        <w:rPr>
          <w:rFonts w:hint="eastAsia"/>
        </w:rPr>
        <w:t>本文件适用于广东省内各级医院、乡镇卫生院以及社区卫生服务中心等各级医疗卫生机构。</w:t>
      </w:r>
    </w:p>
    <w:p w14:paraId="78E24D3E">
      <w:pPr>
        <w:pStyle w:val="109"/>
        <w:spacing w:before="240" w:after="240"/>
      </w:pPr>
      <w:bookmarkStart w:id="50" w:name="_Toc91496117"/>
      <w:bookmarkStart w:id="51" w:name="_Toc91513406"/>
      <w:bookmarkStart w:id="52" w:name="_Toc26718931"/>
      <w:bookmarkStart w:id="53" w:name="_Toc91513418"/>
      <w:bookmarkStart w:id="54" w:name="_Toc97885743"/>
      <w:bookmarkStart w:id="55" w:name="_Toc91513481"/>
      <w:bookmarkStart w:id="56" w:name="_Toc91516494"/>
      <w:bookmarkStart w:id="57" w:name="_Toc26986531"/>
      <w:bookmarkStart w:id="58" w:name="_Toc26986772"/>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5B1FC8F8F15B4B5A8F0A1EDDDBC0C3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626F547">
          <w:pPr>
            <w:pStyle w:val="61"/>
            <w:spacing w:line="400" w:lineRule="exact"/>
            <w:ind w:firstLine="420"/>
          </w:pPr>
          <w:bookmarkStart w:id="59" w:name="_Hlk97498406"/>
          <w:r>
            <w:rPr>
              <w:rFonts w:hint="eastAsia"/>
            </w:rPr>
            <w:t>本文件没有规范性引用文件。</w:t>
          </w:r>
        </w:p>
      </w:sdtContent>
    </w:sdt>
    <w:bookmarkEnd w:id="59"/>
    <w:p w14:paraId="42C8328F">
      <w:pPr>
        <w:pStyle w:val="109"/>
        <w:spacing w:before="240" w:after="240"/>
        <w:rPr>
          <w:szCs w:val="21"/>
        </w:rPr>
      </w:pPr>
      <w:bookmarkStart w:id="60" w:name="_Toc91513419"/>
      <w:bookmarkStart w:id="61" w:name="_Toc91513407"/>
      <w:bookmarkStart w:id="62" w:name="_Toc91496118"/>
      <w:bookmarkStart w:id="63" w:name="_Toc91513482"/>
      <w:bookmarkStart w:id="64" w:name="_Toc91516495"/>
      <w:bookmarkStart w:id="65" w:name="_Toc97885744"/>
      <w:r>
        <w:rPr>
          <w:rFonts w:hint="eastAsia"/>
          <w:szCs w:val="21"/>
        </w:rPr>
        <w:t>术语和定义</w:t>
      </w:r>
      <w:bookmarkEnd w:id="60"/>
      <w:bookmarkEnd w:id="61"/>
      <w:bookmarkEnd w:id="62"/>
      <w:bookmarkEnd w:id="63"/>
      <w:bookmarkEnd w:id="64"/>
      <w:bookmarkEnd w:id="65"/>
    </w:p>
    <w:sdt>
      <w:sdtPr>
        <w:id w:val="-1909835108"/>
        <w:placeholder>
          <w:docPart w:val="8991A396561441D297A413D4AC68AA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5651023">
          <w:pPr>
            <w:pStyle w:val="61"/>
            <w:spacing w:line="400" w:lineRule="exact"/>
            <w:ind w:firstLine="420"/>
          </w:pPr>
          <w:bookmarkStart w:id="66" w:name="_Toc26986532"/>
          <w:bookmarkEnd w:id="66"/>
          <w:r>
            <w:t>下列术语和定义适用于本文件。</w:t>
          </w:r>
        </w:p>
      </w:sdtContent>
    </w:sdt>
    <w:p w14:paraId="56C8814B">
      <w:pPr>
        <w:pStyle w:val="228"/>
        <w:spacing w:line="400" w:lineRule="exact"/>
        <w:ind w:left="420" w:hanging="420" w:hangingChars="200"/>
        <w:rPr>
          <w:rFonts w:ascii="Times New Roman" w:eastAsia="黑体"/>
          <w:b/>
          <w:bCs/>
          <w:color w:val="000000" w:themeColor="text1"/>
          <w14:textFill>
            <w14:solidFill>
              <w14:schemeClr w14:val="tx1"/>
            </w14:solidFill>
          </w14:textFill>
        </w:rPr>
      </w:pPr>
      <w:r>
        <w:rPr>
          <w:rFonts w:ascii="黑体" w:hAnsi="黑体" w:eastAsia="黑体"/>
        </w:rPr>
        <w:br w:type="textWrapping"/>
      </w:r>
      <w:r>
        <w:rPr>
          <w:rFonts w:hint="eastAsia" w:ascii="黑体" w:hAnsi="黑体" w:eastAsia="黑体"/>
        </w:rPr>
        <w:t>慢性心力衰竭　Chronic heart failure</w:t>
      </w:r>
    </w:p>
    <w:p w14:paraId="28AB001A">
      <w:pPr>
        <w:pStyle w:val="61"/>
        <w:spacing w:line="400" w:lineRule="exact"/>
        <w:ind w:firstLine="420"/>
      </w:pPr>
      <w:r>
        <w:rPr>
          <w:rFonts w:hint="eastAsia"/>
        </w:rPr>
        <w:t>是各种原因造成心脏结构和（或）功能的异常改变，使心脏收缩和(或)舒张功能发生障碍，从而引起的一组复杂临床综合征。</w:t>
      </w:r>
    </w:p>
    <w:p w14:paraId="20F89BC5">
      <w:pPr>
        <w:pStyle w:val="109"/>
        <w:spacing w:before="240" w:after="240"/>
      </w:pPr>
      <w:r>
        <w:rPr>
          <w:rFonts w:hint="eastAsia"/>
        </w:rPr>
        <w:t>服务要求</w:t>
      </w:r>
    </w:p>
    <w:p w14:paraId="011955FC">
      <w:pPr>
        <w:pStyle w:val="167"/>
        <w:spacing w:before="120" w:after="120"/>
      </w:pPr>
      <w:r>
        <w:rPr>
          <w:rFonts w:hint="eastAsia"/>
        </w:rPr>
        <w:t>开展慢性心力衰竭中西医结合慢病管理的各级医院、乡镇卫生院、社区卫生服务中心应当具备慢性心力衰竭中西医结合慢病管理所需的基本设备和条件，包括建设中医临床科室、设置多种中医药方法和手段综合使用的中医药特色诊疗区及配备中医常用的诊疗设备。有条件的地区应利用信息化手段开展慢性心力衰竭慢病管理服务。</w:t>
      </w:r>
    </w:p>
    <w:p w14:paraId="17BC6B62">
      <w:pPr>
        <w:pStyle w:val="167"/>
        <w:spacing w:before="120" w:after="120"/>
      </w:pPr>
      <w:r>
        <w:rPr>
          <w:rFonts w:hint="eastAsia"/>
        </w:rPr>
        <w:t>从事慢性心力衰竭慢病管理工作的人员应为接受过慢性心力衰竭慢病管理知识与技术培训的医护人员。至少每两年参加一次心脏病健康教育相关的地市级或以上继续教育项目，学习慢病管理的相关知识及新进展。</w:t>
      </w:r>
    </w:p>
    <w:p w14:paraId="2025C2C2">
      <w:pPr>
        <w:pStyle w:val="167"/>
        <w:spacing w:before="120" w:after="120"/>
      </w:pPr>
      <w:r>
        <w:rPr>
          <w:rFonts w:hint="eastAsia"/>
        </w:rPr>
        <w:t>按照有关慢性心力衰竭规范对患者进行健康管理。在慢性心力衰竭慢病管理的基础上联合中医保健治疗，包括进行中医健康指导及有中医内容的随访。</w:t>
      </w:r>
    </w:p>
    <w:p w14:paraId="4982D16A">
      <w:pPr>
        <w:pStyle w:val="167"/>
        <w:spacing w:before="120" w:after="120"/>
      </w:pPr>
      <w:r>
        <w:rPr>
          <w:rFonts w:hint="eastAsia"/>
        </w:rPr>
        <w:t xml:space="preserve">每次服务后及时记录相关信息，纳入慢性心力衰竭慢病管理健康档案。                                                                               </w:t>
      </w:r>
    </w:p>
    <w:p w14:paraId="0A1C8162">
      <w:pPr>
        <w:pStyle w:val="109"/>
        <w:spacing w:before="240" w:after="240"/>
      </w:pPr>
      <w:r>
        <w:rPr>
          <w:rFonts w:hint="eastAsia"/>
        </w:rPr>
        <w:t>中西医结合慢病管理程序</w:t>
      </w:r>
    </w:p>
    <w:p w14:paraId="53CF288A">
      <w:pPr>
        <w:pStyle w:val="167"/>
        <w:spacing w:before="120" w:after="120"/>
      </w:pPr>
      <w:r>
        <w:rPr>
          <w:rFonts w:hint="eastAsia"/>
        </w:rPr>
        <w:t>宜建立中西医结合慢病管理多学科团队，包括心内科、中医科、营养科、康复医学科等。</w:t>
      </w:r>
    </w:p>
    <w:p w14:paraId="7ED2D50D">
      <w:pPr>
        <w:pStyle w:val="167"/>
        <w:spacing w:before="120" w:after="120"/>
      </w:pPr>
      <w:r>
        <w:rPr>
          <w:rFonts w:hint="eastAsia"/>
        </w:rPr>
        <w:t>宜评估患者基本情况，如病史、症状体征、检验检查结果、心功能、运动功能、心理状态以及吸烟饮酒情况。</w:t>
      </w:r>
    </w:p>
    <w:p w14:paraId="00546B52">
      <w:pPr>
        <w:pStyle w:val="167"/>
        <w:spacing w:before="120" w:after="120"/>
      </w:pPr>
      <w:r>
        <w:rPr>
          <w:rFonts w:hint="eastAsia"/>
        </w:rPr>
        <w:t>宜运用中医“望、闻、问、切”四诊合参方法对慢性心力衰竭患者进行证候辨识。</w:t>
      </w:r>
    </w:p>
    <w:p w14:paraId="0BF9C085">
      <w:pPr>
        <w:pStyle w:val="167"/>
        <w:spacing w:before="120" w:after="120"/>
      </w:pPr>
      <w:r>
        <w:rPr>
          <w:rFonts w:hint="eastAsia"/>
        </w:rPr>
        <w:t>对慢性心力衰竭患者应从服药、运动、营养、体重、心理、戒烟等方面进行健康指导，传授四季养生、穴位按摩等适宜居民自行操作的中医（中西医结合）技术。</w:t>
      </w:r>
    </w:p>
    <w:p w14:paraId="04A355DC">
      <w:pPr>
        <w:pStyle w:val="167"/>
        <w:spacing w:before="120" w:after="120"/>
      </w:pPr>
      <w:r>
        <w:rPr>
          <w:rFonts w:hint="eastAsia"/>
        </w:rPr>
        <w:t>根据各试点地区实际情况，各地区可结合慢性心力衰竭管理的时间要求，每年至少应给与1次中医健康指导和1次有中医内容的随访。</w:t>
      </w:r>
    </w:p>
    <w:p w14:paraId="235444E9">
      <w:pPr>
        <w:pStyle w:val="167"/>
        <w:spacing w:before="120" w:after="120"/>
      </w:pPr>
      <w:r>
        <w:rPr>
          <w:rFonts w:hint="eastAsia"/>
        </w:rPr>
        <w:t>应记录在慢性心力衰竭慢病管理健康档案中或慢病管理信息系统中。</w:t>
      </w:r>
    </w:p>
    <w:p w14:paraId="7F83EEB1">
      <w:pPr>
        <w:pStyle w:val="109"/>
        <w:spacing w:before="240" w:after="240"/>
      </w:pPr>
      <w:r>
        <w:rPr>
          <w:rFonts w:hint="eastAsia"/>
        </w:rPr>
        <w:t>中西医结合慢病管理具体内容</w:t>
      </w:r>
    </w:p>
    <w:p w14:paraId="1A907568">
      <w:pPr>
        <w:pStyle w:val="110"/>
        <w:spacing w:before="120" w:after="120"/>
      </w:pPr>
      <w:r>
        <w:rPr>
          <w:rFonts w:hint="eastAsia"/>
        </w:rPr>
        <w:t>药物管理</w:t>
      </w:r>
    </w:p>
    <w:p w14:paraId="36DB9024">
      <w:pPr>
        <w:pStyle w:val="170"/>
        <w:spacing w:before="120" w:after="120"/>
      </w:pPr>
      <w:r>
        <w:rPr>
          <w:rFonts w:hint="eastAsia"/>
        </w:rPr>
        <w:t>应详细讲解药名、剂量、时间、频次、用药目的、不良反应和注意事项，重点讲解指南指导的药物治疗作用及不良反应，利尿剂的使用及调整，为患者打印用药清单，教会患者服药期间监测体重、尿量、血压和脉搏。</w:t>
      </w:r>
    </w:p>
    <w:p w14:paraId="463E60E0">
      <w:pPr>
        <w:pStyle w:val="170"/>
        <w:spacing w:before="120" w:after="120"/>
      </w:pPr>
      <w:r>
        <w:rPr>
          <w:rFonts w:hint="eastAsia"/>
        </w:rPr>
        <w:t>应为患者提供最佳用药时间表，加强家属对患者用药依从性的监督管理作用。</w:t>
      </w:r>
    </w:p>
    <w:p w14:paraId="3C168731">
      <w:pPr>
        <w:pStyle w:val="170"/>
        <w:spacing w:before="120" w:after="120"/>
      </w:pPr>
      <w:r>
        <w:rPr>
          <w:rFonts w:hint="eastAsia"/>
        </w:rPr>
        <w:t>应指导患者应遵循每日用药方案，按时服药，不得漏服，不得擅自停药。如出现漏服，不建议补服或加倍服药。</w:t>
      </w:r>
    </w:p>
    <w:p w14:paraId="7A3F8BA9">
      <w:pPr>
        <w:pStyle w:val="170"/>
        <w:spacing w:before="120" w:after="120"/>
        <w:jc w:val="left"/>
      </w:pPr>
      <w:r>
        <w:rPr>
          <w:rFonts w:hint="eastAsia"/>
        </w:rPr>
        <w:t>应指导患者能识别药物常见的副作用，出现药物副作用时，立即就医。</w:t>
      </w:r>
    </w:p>
    <w:p w14:paraId="7BCF38CA">
      <w:pPr>
        <w:pStyle w:val="170"/>
        <w:spacing w:before="120" w:after="120"/>
        <w:jc w:val="left"/>
      </w:pPr>
      <w:r>
        <w:rPr>
          <w:rFonts w:hint="eastAsia"/>
        </w:rPr>
        <w:t>中药汤剂宜浓煎，每剂100</w:t>
      </w:r>
      <w:r>
        <w:rPr>
          <w:rFonts w:hint="eastAsia"/>
          <w:lang w:val="en-US" w:eastAsia="zh-CN"/>
        </w:rPr>
        <w:t xml:space="preserve"> </w:t>
      </w:r>
      <w:r>
        <w:rPr>
          <w:rFonts w:hint="eastAsia"/>
        </w:rPr>
        <w:t>ml可分上下午温服。服药期间不宜进食辛辣刺激之品，以免影响药效。</w:t>
      </w:r>
    </w:p>
    <w:p w14:paraId="62836F74">
      <w:pPr>
        <w:pStyle w:val="110"/>
        <w:spacing w:before="120" w:after="120"/>
      </w:pPr>
      <w:r>
        <w:rPr>
          <w:rFonts w:hint="eastAsia"/>
        </w:rPr>
        <w:t>非药物管理</w:t>
      </w:r>
    </w:p>
    <w:p w14:paraId="2969E94F">
      <w:pPr>
        <w:pStyle w:val="70"/>
        <w:spacing w:before="120" w:after="120"/>
      </w:pPr>
      <w:r>
        <w:rPr>
          <w:rFonts w:hint="eastAsia"/>
        </w:rPr>
        <w:t>饮食营养管理</w:t>
      </w:r>
    </w:p>
    <w:p w14:paraId="272387C8">
      <w:pPr>
        <w:pStyle w:val="169"/>
      </w:pPr>
      <w:r>
        <w:rPr>
          <w:rFonts w:hint="eastAsia"/>
        </w:rPr>
        <w:t>可使用心力衰竭特异性微型营养评价量表（MNA-HF）、营养风险筛查2002( nutritional risk screening 2002,NRS2002)、营养风险指数(nutritional risk index,NRI)等来评估心衰患者营养状况。</w:t>
      </w:r>
    </w:p>
    <w:p w14:paraId="2BDD1728">
      <w:pPr>
        <w:pStyle w:val="169"/>
      </w:pPr>
      <w:r>
        <w:rPr>
          <w:rFonts w:hint="eastAsia"/>
        </w:rPr>
        <w:t>应指导患者低盐、低脂饮食，以植物性食物（水果、蔬菜、坚果、豆类、全谷物）为主，尽量减少红肉的摄入，可适量补充微量维生素，采购食物应查看食物的标签成分。伴有糖尿病的患者应低糖饮食，少食多餐；伴有营养不良或恶病质的患者，至少摄入1.1</w:t>
      </w:r>
      <w:r>
        <w:rPr>
          <w:rFonts w:hint="eastAsia"/>
          <w:lang w:val="en-US" w:eastAsia="zh-CN"/>
        </w:rPr>
        <w:t xml:space="preserve"> </w:t>
      </w:r>
      <w:r>
        <w:rPr>
          <w:rFonts w:hint="eastAsia"/>
        </w:rPr>
        <w:t>g</w:t>
      </w:r>
      <w:r>
        <w:rPr>
          <w:rFonts w:hint="eastAsia"/>
          <w:lang w:val="en-US" w:eastAsia="zh-CN"/>
        </w:rPr>
        <w:t>/</w:t>
      </w:r>
      <w:r>
        <w:rPr>
          <w:rFonts w:hint="eastAsia"/>
        </w:rPr>
        <w:t>kg</w:t>
      </w:r>
      <w:r>
        <w:rPr>
          <w:rFonts w:hint="eastAsia"/>
          <w:lang w:val="en-US" w:eastAsia="zh-CN"/>
        </w:rPr>
        <w:t>/</w:t>
      </w:r>
      <w:r>
        <w:rPr>
          <w:rFonts w:hint="eastAsia"/>
        </w:rPr>
        <w:t>d的蛋白质。</w:t>
      </w:r>
    </w:p>
    <w:p w14:paraId="6A9A04CC">
      <w:pPr>
        <w:pStyle w:val="169"/>
      </w:pPr>
      <w:r>
        <w:rPr>
          <w:rFonts w:hint="eastAsia"/>
        </w:rPr>
        <w:t>个性化液体摄入，轻中度心力衰竭患者常规可不限制液体摄入。</w:t>
      </w:r>
    </w:p>
    <w:p w14:paraId="66A0128F">
      <w:pPr>
        <w:pStyle w:val="169"/>
      </w:pPr>
      <w:r>
        <w:rPr>
          <w:rFonts w:hint="eastAsia"/>
        </w:rPr>
        <w:t>难治性（D期，Ⅳ级）心力衰竭、重度低钠血症(血钠&lt;130</w:t>
      </w:r>
      <w:r>
        <w:rPr>
          <w:rFonts w:hint="eastAsia"/>
          <w:lang w:val="en-US" w:eastAsia="zh-CN"/>
        </w:rPr>
        <w:t xml:space="preserve"> </w:t>
      </w:r>
      <w:r>
        <w:rPr>
          <w:rFonts w:hint="eastAsia"/>
        </w:rPr>
        <w:t>mmol/L，有相应症状)、不应用利尿剂控制的尿潴留或水肿患者限制液体摄入量&lt;1.5</w:t>
      </w:r>
      <w:r>
        <w:rPr>
          <w:rFonts w:hint="eastAsia"/>
          <w:lang w:val="en-US" w:eastAsia="zh-CN"/>
        </w:rPr>
        <w:t xml:space="preserve"> </w:t>
      </w:r>
      <w:r>
        <w:rPr>
          <w:rFonts w:hint="eastAsia"/>
        </w:rPr>
        <w:t>L/d～2</w:t>
      </w:r>
      <w:r>
        <w:rPr>
          <w:rFonts w:hint="eastAsia"/>
          <w:lang w:val="en-US" w:eastAsia="zh-CN"/>
        </w:rPr>
        <w:t xml:space="preserve"> </w:t>
      </w:r>
      <w:r>
        <w:rPr>
          <w:rFonts w:hint="eastAsia"/>
        </w:rPr>
        <w:t>L/d。</w:t>
      </w:r>
    </w:p>
    <w:p w14:paraId="4ADD031A">
      <w:pPr>
        <w:pStyle w:val="169"/>
      </w:pPr>
      <w:r>
        <w:rPr>
          <w:rFonts w:hint="eastAsia"/>
        </w:rPr>
        <w:t>中医辨证施膳建议如下：</w:t>
      </w:r>
    </w:p>
    <w:p w14:paraId="431B471E">
      <w:pPr>
        <w:pStyle w:val="179"/>
        <w:widowControl w:val="0"/>
        <w:adjustRightInd w:val="0"/>
        <w:ind w:firstLine="420" w:firstLineChars="200"/>
      </w:pPr>
      <w:r>
        <w:rPr>
          <w:rFonts w:hint="eastAsia"/>
        </w:rPr>
        <w:t>气虚血瘀型：以健脾益气为主，药膳中可用人参、党参、黄芪、山药、茯苓、</w:t>
      </w:r>
      <w:r>
        <w:rPr>
          <w:rFonts w:hint="eastAsia"/>
          <w:lang w:val="en-US" w:eastAsia="zh-CN"/>
        </w:rPr>
        <w:t>田七</w:t>
      </w:r>
      <w:r>
        <w:rPr>
          <w:rFonts w:hint="eastAsia"/>
        </w:rPr>
        <w:t>、芡实等。因人参价高且质优者难求，因此可以党参替代。</w:t>
      </w:r>
    </w:p>
    <w:p w14:paraId="5F6E3085">
      <w:pPr>
        <w:pStyle w:val="179"/>
        <w:widowControl w:val="0"/>
        <w:adjustRightInd w:val="0"/>
        <w:ind w:firstLine="420" w:firstLineChars="200"/>
      </w:pPr>
      <w:r>
        <w:rPr>
          <w:rFonts w:hint="eastAsia"/>
        </w:rPr>
        <w:t>气阴两虚血瘀型：以益气养阴为主，兼以养心安神，药膳中可用西洋参、党参、黄芪、黄精、山药、百合、麦冬、</w:t>
      </w:r>
      <w:r>
        <w:rPr>
          <w:rFonts w:hint="eastAsia"/>
          <w:lang w:val="en-US" w:eastAsia="zh-CN"/>
        </w:rPr>
        <w:t>桃仁</w:t>
      </w:r>
      <w:r>
        <w:rPr>
          <w:rFonts w:hint="eastAsia"/>
        </w:rPr>
        <w:t>等。</w:t>
      </w:r>
    </w:p>
    <w:p w14:paraId="7B911154">
      <w:pPr>
        <w:pStyle w:val="179"/>
        <w:widowControl w:val="0"/>
        <w:adjustRightInd w:val="0"/>
        <w:ind w:firstLine="420" w:firstLineChars="200"/>
      </w:pPr>
      <w:r>
        <w:rPr>
          <w:rFonts w:hint="eastAsia"/>
        </w:rPr>
        <w:t>阳虚血瘀型：以益气温阳为主，药膳中可用红参、黄芪、桂圆、杜仲、制附片、冬虫夏草</w:t>
      </w:r>
      <w:r>
        <w:rPr>
          <w:rFonts w:hint="eastAsia"/>
          <w:lang w:eastAsia="zh-CN"/>
        </w:rPr>
        <w:t>、</w:t>
      </w:r>
      <w:r>
        <w:rPr>
          <w:rFonts w:hint="eastAsia"/>
          <w:lang w:val="en-US" w:eastAsia="zh-CN"/>
        </w:rPr>
        <w:t>当归</w:t>
      </w:r>
      <w:r>
        <w:rPr>
          <w:rFonts w:hint="eastAsia"/>
        </w:rPr>
        <w:t>等。</w:t>
      </w:r>
    </w:p>
    <w:p w14:paraId="6A67F085">
      <w:pPr>
        <w:pStyle w:val="179"/>
        <w:widowControl w:val="0"/>
        <w:adjustRightInd w:val="0"/>
        <w:ind w:firstLine="420" w:firstLineChars="200"/>
      </w:pPr>
      <w:r>
        <w:rPr>
          <w:rFonts w:hint="eastAsia"/>
        </w:rPr>
        <w:t>--此外中重度心衰患者常伴有水肿的症状，以水肿明显者，可予利水渗湿类药膳方，如砂仁鲫鱼汤、鲤鱼赤小豆汤、鲤鱼冬瓜汤、赤小豆冬瓜煲乌鱼、茯苓粳米粥、冬瓜粥、赤小豆茅根汤等。</w:t>
      </w:r>
    </w:p>
    <w:p w14:paraId="14DA8032">
      <w:pPr>
        <w:pStyle w:val="70"/>
        <w:spacing w:before="120" w:after="120"/>
      </w:pPr>
      <w:r>
        <w:rPr>
          <w:rFonts w:hint="eastAsia"/>
        </w:rPr>
        <w:t>运动管理</w:t>
      </w:r>
    </w:p>
    <w:p w14:paraId="7E102067">
      <w:pPr>
        <w:pStyle w:val="169"/>
        <w:rPr>
          <w:rFonts w:hAnsi="Times New Roman"/>
        </w:rPr>
      </w:pPr>
      <w:r>
        <w:rPr>
          <w:rFonts w:hAnsi="Times New Roman"/>
        </w:rPr>
        <w:t>应通过心肺运动试验、6</w:t>
      </w:r>
      <w:r>
        <w:rPr>
          <w:rFonts w:hint="eastAsia" w:hAnsi="Times New Roman"/>
          <w:lang w:val="en-US" w:eastAsia="zh-CN"/>
        </w:rPr>
        <w:t xml:space="preserve"> </w:t>
      </w:r>
      <w:r>
        <w:rPr>
          <w:rFonts w:hAnsi="Times New Roman"/>
        </w:rPr>
        <w:t>min步行试验、体适能评估等对患者的运动能力进行评估，为患者制定个体化的运动处方。</w:t>
      </w:r>
    </w:p>
    <w:p w14:paraId="76B47F05">
      <w:pPr>
        <w:pStyle w:val="169"/>
        <w:rPr>
          <w:rFonts w:hAnsi="Times New Roman"/>
        </w:rPr>
      </w:pPr>
      <w:r>
        <w:rPr>
          <w:rFonts w:hAnsi="Times New Roman"/>
        </w:rPr>
        <w:t>对于心功能Ⅰ</w:t>
      </w:r>
      <w:r>
        <w:rPr>
          <w:rFonts w:hint="eastAsia" w:hAnsi="Times New Roman"/>
          <w:lang w:val="en-US" w:eastAsia="zh-CN"/>
        </w:rPr>
        <w:t>级</w:t>
      </w:r>
      <w:r>
        <w:rPr>
          <w:rFonts w:hAnsi="Times New Roman"/>
        </w:rPr>
        <w:t>～Ⅲ</w:t>
      </w:r>
      <w:r>
        <w:rPr>
          <w:rFonts w:hint="eastAsia" w:hAnsi="Times New Roman"/>
          <w:lang w:val="en-US" w:eastAsia="zh-CN"/>
        </w:rPr>
        <w:t>级</w:t>
      </w:r>
      <w:r>
        <w:rPr>
          <w:rFonts w:hAnsi="Times New Roman"/>
        </w:rPr>
        <w:t>的生命体征平稳的心衰患者应进行运动康复。</w:t>
      </w:r>
    </w:p>
    <w:p w14:paraId="1A7F2E23">
      <w:pPr>
        <w:pStyle w:val="169"/>
        <w:rPr>
          <w:rFonts w:hAnsi="Times New Roman"/>
        </w:rPr>
      </w:pPr>
      <w:r>
        <w:rPr>
          <w:rFonts w:hAnsi="Times New Roman"/>
        </w:rPr>
        <w:t>制定运动处方时，应结合患者的年龄、合并症、运动喜好、具备运动的条件、受限制的因素。</w:t>
      </w:r>
    </w:p>
    <w:p w14:paraId="2D923E5A">
      <w:pPr>
        <w:pStyle w:val="169"/>
        <w:rPr>
          <w:rFonts w:hAnsi="Times New Roman"/>
        </w:rPr>
      </w:pPr>
      <w:r>
        <w:rPr>
          <w:rFonts w:hAnsi="Times New Roman"/>
        </w:rPr>
        <w:t>运动种类应以有氧运动为主，辅助抗阻运动、柔韧性运动、平衡运动以及呼吸机锻炼，柔韧性运动可以作为热身和整理运动。</w:t>
      </w:r>
    </w:p>
    <w:p w14:paraId="3F9B57E0">
      <w:pPr>
        <w:pStyle w:val="169"/>
        <w:rPr>
          <w:rFonts w:hAnsi="Times New Roman"/>
        </w:rPr>
      </w:pPr>
      <w:r>
        <w:rPr>
          <w:rFonts w:hAnsi="Times New Roman"/>
        </w:rPr>
        <w:t>根据患者自身的情况可选择有氧运动，如步行、功率车、太极拳、八段锦等，运动强度应参考峰值心律、储备心率（Heart Rate Reserve，HRR）、峰值氧耗量（peak oxygen uptake，peak VO</w:t>
      </w:r>
      <w:r>
        <w:rPr>
          <w:rFonts w:hAnsi="Times New Roman"/>
          <w:vertAlign w:val="subscript"/>
        </w:rPr>
        <w:t>2</w:t>
      </w:r>
      <w:r>
        <w:rPr>
          <w:rFonts w:hAnsi="Times New Roman"/>
        </w:rPr>
        <w:t>）、储备摄氧量、自主疲劳指数等制定</w:t>
      </w:r>
      <w:r>
        <w:rPr>
          <w:rFonts w:hint="eastAsia" w:hAnsi="Times New Roman"/>
        </w:rPr>
        <w:t>个体化的运动处方。稳定性心衰（NYHA</w:t>
      </w:r>
      <w:r>
        <w:rPr>
          <w:rFonts w:hint="eastAsia" w:ascii="宋体" w:hAnsi="宋体" w:eastAsia="宋体" w:cs="宋体"/>
          <w:lang w:val="en-US" w:eastAsia="zh-CN"/>
        </w:rPr>
        <w:t>Ⅰ</w:t>
      </w:r>
      <w:r>
        <w:rPr>
          <w:rFonts w:hint="eastAsia" w:cs="宋体"/>
          <w:lang w:val="en-US" w:eastAsia="zh-CN"/>
        </w:rPr>
        <w:t>级</w:t>
      </w:r>
      <w:r>
        <w:rPr>
          <w:rFonts w:hint="eastAsia" w:hAnsi="Times New Roman"/>
        </w:rPr>
        <w:t>-</w:t>
      </w:r>
      <w:r>
        <w:rPr>
          <w:rFonts w:hint="eastAsia" w:ascii="宋体" w:hAnsi="宋体" w:eastAsia="宋体" w:cs="宋体"/>
        </w:rPr>
        <w:t>Ⅱ</w:t>
      </w:r>
      <w:r>
        <w:rPr>
          <w:rFonts w:hint="eastAsia" w:hAnsi="Times New Roman"/>
        </w:rPr>
        <w:t>级）患者，初始阶段从低强度、短时间开始（如10</w:t>
      </w:r>
      <w:r>
        <w:rPr>
          <w:rFonts w:hint="eastAsia" w:hAnsi="Times New Roman"/>
          <w:lang w:val="en-US" w:eastAsia="zh-CN"/>
        </w:rPr>
        <w:t xml:space="preserve"> min</w:t>
      </w:r>
      <w:r>
        <w:rPr>
          <w:rFonts w:hint="eastAsia" w:hAnsi="Times New Roman"/>
        </w:rPr>
        <w:t>/次，3次/周），逐步增量至20</w:t>
      </w:r>
      <w:r>
        <w:rPr>
          <w:rFonts w:hint="eastAsia" w:hAnsi="Times New Roman"/>
          <w:lang w:val="en-US" w:eastAsia="zh-CN"/>
        </w:rPr>
        <w:t xml:space="preserve"> </w:t>
      </w:r>
      <w:r>
        <w:rPr>
          <w:rFonts w:hint="eastAsia" w:hAnsi="Times New Roman"/>
        </w:rPr>
        <w:t>min/次～60</w:t>
      </w:r>
      <w:r>
        <w:rPr>
          <w:rFonts w:hint="eastAsia" w:hAnsi="Times New Roman"/>
          <w:lang w:val="en-US" w:eastAsia="zh-CN"/>
        </w:rPr>
        <w:t xml:space="preserve"> </w:t>
      </w:r>
      <w:r>
        <w:rPr>
          <w:rFonts w:hint="eastAsia" w:hAnsi="Times New Roman"/>
        </w:rPr>
        <w:t>min/次和≥5次/周。NYHA</w:t>
      </w:r>
      <w:r>
        <w:rPr>
          <w:rFonts w:hint="eastAsia" w:ascii="宋体" w:hAnsi="宋体" w:eastAsia="宋体" w:cs="宋体"/>
        </w:rPr>
        <w:t>Ⅲ</w:t>
      </w:r>
      <w:r>
        <w:rPr>
          <w:rFonts w:hint="eastAsia" w:cs="宋体"/>
          <w:lang w:val="en-US" w:eastAsia="zh-CN"/>
        </w:rPr>
        <w:t>级</w:t>
      </w:r>
      <w:r>
        <w:rPr>
          <w:rFonts w:hint="eastAsia" w:hAnsi="Times New Roman"/>
        </w:rPr>
        <w:t>-IV级患者应减少单次时长和频率，优先保证安全性。</w:t>
      </w:r>
    </w:p>
    <w:p w14:paraId="66EFED68">
      <w:pPr>
        <w:pStyle w:val="169"/>
        <w:rPr>
          <w:rFonts w:hAnsi="Times New Roman"/>
        </w:rPr>
      </w:pPr>
      <w:r>
        <w:rPr>
          <w:rFonts w:hAnsi="Times New Roman"/>
        </w:rPr>
        <w:t>在有氧运动3周～4周后，可进行抗阻运动，如自由举重、哑铃、弹力带等，运动强度上肢可从40%～70%所能耐受的最大重量，下肢可从50%～70%所能耐受的最大重量，反复重复8</w:t>
      </w:r>
      <w:r>
        <w:rPr>
          <w:rFonts w:hint="eastAsia" w:hAnsi="Times New Roman"/>
          <w:lang w:val="en-US" w:eastAsia="zh-CN"/>
        </w:rPr>
        <w:t>次</w:t>
      </w:r>
      <w:r>
        <w:rPr>
          <w:rFonts w:hAnsi="Times New Roman"/>
        </w:rPr>
        <w:t>～15次，自主疲劳指数&lt;15%，运动频率应为每周2</w:t>
      </w:r>
      <w:r>
        <w:rPr>
          <w:rFonts w:hint="eastAsia" w:hAnsi="Times New Roman"/>
          <w:lang w:val="en-US" w:eastAsia="zh-CN"/>
        </w:rPr>
        <w:t>次</w:t>
      </w:r>
      <w:r>
        <w:rPr>
          <w:rFonts w:hAnsi="Times New Roman"/>
        </w:rPr>
        <w:t>～3次。</w:t>
      </w:r>
    </w:p>
    <w:p w14:paraId="5193C203">
      <w:pPr>
        <w:pStyle w:val="169"/>
        <w:rPr>
          <w:rFonts w:hAnsi="Times New Roman"/>
        </w:rPr>
      </w:pPr>
      <w:r>
        <w:rPr>
          <w:rFonts w:hAnsi="Times New Roman"/>
        </w:rPr>
        <w:t>柔韧性运动可选择动力拉伸和静力拉伸，运动强度和时间一般关键肌肉群可牵拉3</w:t>
      </w:r>
      <w:r>
        <w:rPr>
          <w:rFonts w:hint="eastAsia" w:hAnsi="Times New Roman"/>
          <w:lang w:val="en-US" w:eastAsia="zh-CN"/>
        </w:rPr>
        <w:t>次</w:t>
      </w:r>
      <w:r>
        <w:rPr>
          <w:rFonts w:hAnsi="Times New Roman"/>
        </w:rPr>
        <w:t>～5次，每次20</w:t>
      </w:r>
      <w:r>
        <w:rPr>
          <w:rFonts w:hint="eastAsia" w:hAnsi="Times New Roman"/>
          <w:lang w:val="en-US" w:eastAsia="zh-CN"/>
        </w:rPr>
        <w:t xml:space="preserve"> s</w:t>
      </w:r>
      <w:r>
        <w:rPr>
          <w:rFonts w:hAnsi="Times New Roman"/>
        </w:rPr>
        <w:t>～30</w:t>
      </w:r>
      <w:r>
        <w:rPr>
          <w:rFonts w:hint="eastAsia" w:hAnsi="Times New Roman"/>
          <w:lang w:val="en-US" w:eastAsia="zh-CN"/>
        </w:rPr>
        <w:t xml:space="preserve"> s</w:t>
      </w:r>
      <w:r>
        <w:rPr>
          <w:rFonts w:hAnsi="Times New Roman"/>
        </w:rPr>
        <w:t>，运动频率应为每周2</w:t>
      </w:r>
      <w:r>
        <w:rPr>
          <w:rFonts w:hint="eastAsia" w:hAnsi="Times New Roman"/>
          <w:lang w:val="en-US" w:eastAsia="zh-CN"/>
        </w:rPr>
        <w:t>次</w:t>
      </w:r>
      <w:r>
        <w:rPr>
          <w:rFonts w:hAnsi="Times New Roman"/>
        </w:rPr>
        <w:t>～3次。</w:t>
      </w:r>
    </w:p>
    <w:p w14:paraId="00F083E4">
      <w:pPr>
        <w:pStyle w:val="169"/>
        <w:rPr>
          <w:rFonts w:hAnsi="Times New Roman"/>
        </w:rPr>
      </w:pPr>
      <w:r>
        <w:rPr>
          <w:rFonts w:hAnsi="Times New Roman"/>
        </w:rPr>
        <w:t>呼吸肌训练：可选择缩唇呼吸训练、腹式呼吸训练、人工对抗阻力呼吸训练。</w:t>
      </w:r>
    </w:p>
    <w:p w14:paraId="18D2524D">
      <w:pPr>
        <w:pStyle w:val="169"/>
        <w:rPr>
          <w:rFonts w:hAnsi="Times New Roman"/>
        </w:rPr>
      </w:pPr>
      <w:r>
        <w:rPr>
          <w:rFonts w:hAnsi="Times New Roman"/>
        </w:rPr>
        <w:t>运动过程中如出现胸闷痛、气促等不适，应立即休息，休息缓解不明显者，应立即拨打120就近就医。</w:t>
      </w:r>
    </w:p>
    <w:p w14:paraId="22652626">
      <w:pPr>
        <w:pStyle w:val="70"/>
        <w:spacing w:before="120" w:after="120"/>
      </w:pPr>
      <w:r>
        <w:rPr>
          <w:rFonts w:hint="eastAsia"/>
        </w:rPr>
        <w:t>体重管理</w:t>
      </w:r>
    </w:p>
    <w:p w14:paraId="6EC2FB43">
      <w:pPr>
        <w:pStyle w:val="169"/>
        <w:adjustRightInd w:val="0"/>
        <w:snapToGrid w:val="0"/>
        <w:rPr>
          <w:rFonts w:hAnsi="Times New Roman"/>
        </w:rPr>
      </w:pPr>
      <w:r>
        <w:rPr>
          <w:rFonts w:hAnsi="Times New Roman"/>
        </w:rPr>
        <w:t>应在固定的时间、同一条件下，如晨起后空腹穿同样的衣服、排尿排便后和进餐前，使用刻度清晰、易读数、易“归零”的秤（例如电子秤）测量体重，并予以记录。</w:t>
      </w:r>
    </w:p>
    <w:p w14:paraId="382B3224">
      <w:pPr>
        <w:pStyle w:val="169"/>
        <w:adjustRightInd w:val="0"/>
        <w:snapToGrid w:val="0"/>
        <w:rPr>
          <w:rFonts w:hAnsi="Times New Roman"/>
        </w:rPr>
      </w:pPr>
      <w:r>
        <w:rPr>
          <w:rFonts w:hAnsi="Times New Roman"/>
        </w:rPr>
        <w:t>指导患者能够尽早注意到液体潴留的症状或体征，如疲乏加重、呼吸困难加重、活动耐量下降、静息心率增加≥15次/min、水肿（尤其下肢）再现或加重、体重增加（3</w:t>
      </w:r>
      <w:r>
        <w:rPr>
          <w:rFonts w:hint="eastAsia" w:hAnsi="Times New Roman"/>
          <w:lang w:val="en-US" w:eastAsia="zh-CN"/>
        </w:rPr>
        <w:t xml:space="preserve"> </w:t>
      </w:r>
      <w:r>
        <w:rPr>
          <w:rFonts w:hAnsi="Times New Roman"/>
        </w:rPr>
        <w:t>d内突然增加2</w:t>
      </w:r>
      <w:r>
        <w:rPr>
          <w:rFonts w:hint="eastAsia" w:hAnsi="Times New Roman"/>
          <w:lang w:val="en-US" w:eastAsia="zh-CN"/>
        </w:rPr>
        <w:t xml:space="preserve"> </w:t>
      </w:r>
      <w:r>
        <w:rPr>
          <w:rFonts w:hAnsi="Times New Roman"/>
        </w:rPr>
        <w:t>kg以上）</w:t>
      </w:r>
    </w:p>
    <w:p w14:paraId="15CF8099">
      <w:pPr>
        <w:pStyle w:val="169"/>
        <w:adjustRightInd w:val="0"/>
        <w:snapToGrid w:val="0"/>
        <w:rPr>
          <w:rFonts w:hAnsi="Times New Roman"/>
        </w:rPr>
      </w:pPr>
      <w:r>
        <w:rPr>
          <w:rFonts w:hAnsi="Times New Roman"/>
        </w:rPr>
        <w:t>对于年轻，心功能受到超重或病态肥胖(如BMI&gt;35</w:t>
      </w:r>
      <w:r>
        <w:rPr>
          <w:rFonts w:hint="eastAsia" w:hAnsi="Times New Roman"/>
          <w:lang w:val="en-US" w:eastAsia="zh-CN"/>
        </w:rPr>
        <w:t xml:space="preserve"> </w:t>
      </w:r>
      <w:r>
        <w:rPr>
          <w:rFonts w:hAnsi="Times New Roman"/>
        </w:rPr>
        <w:t>kg/m</w:t>
      </w:r>
      <w:r>
        <w:rPr>
          <w:rFonts w:hAnsi="Times New Roman"/>
          <w:vertAlign w:val="superscript"/>
        </w:rPr>
        <w:t>2</w:t>
      </w:r>
      <w:r>
        <w:rPr>
          <w:rFonts w:hAnsi="Times New Roman"/>
        </w:rPr>
        <w:t>)影响者，建议减重。</w:t>
      </w:r>
    </w:p>
    <w:p w14:paraId="71FFE451">
      <w:pPr>
        <w:pStyle w:val="169"/>
      </w:pPr>
      <w:r>
        <w:rPr>
          <w:rFonts w:hAnsi="Times New Roman"/>
        </w:rPr>
        <w:t>减重采用低热量平衡膳食控制能量摄入，在保证必须的热量的基础上，加上适当的有氧运动来使体内脂肪燃烧分级而减肥。遵循循序渐进，通常每周减0.5</w:t>
      </w:r>
      <w:r>
        <w:rPr>
          <w:rFonts w:hint="eastAsia" w:hAnsi="Times New Roman"/>
          <w:lang w:val="en-US" w:eastAsia="zh-CN"/>
        </w:rPr>
        <w:t xml:space="preserve"> kg</w:t>
      </w:r>
      <w:r>
        <w:rPr>
          <w:rFonts w:hAnsi="Times New Roman"/>
        </w:rPr>
        <w:t>～1.0</w:t>
      </w:r>
      <w:r>
        <w:rPr>
          <w:rFonts w:hint="eastAsia" w:hAnsi="Times New Roman"/>
          <w:lang w:val="en-US" w:eastAsia="zh-CN"/>
        </w:rPr>
        <w:t xml:space="preserve"> </w:t>
      </w:r>
      <w:r>
        <w:rPr>
          <w:rFonts w:hAnsi="Times New Roman"/>
        </w:rPr>
        <w:t>kg，在6个月至1年内减轻原体重的5%～10%为宜。</w:t>
      </w:r>
    </w:p>
    <w:p w14:paraId="1E29C708">
      <w:pPr>
        <w:pStyle w:val="70"/>
        <w:spacing w:before="120" w:after="120"/>
      </w:pPr>
      <w:r>
        <w:rPr>
          <w:rFonts w:hint="eastAsia"/>
        </w:rPr>
        <w:t>出入量管理</w:t>
      </w:r>
    </w:p>
    <w:p w14:paraId="28C19691">
      <w:pPr>
        <w:pStyle w:val="169"/>
      </w:pPr>
      <w:r>
        <w:t>评估患者的生命体征、判断液体潴留的严重程度，注意有无近期体重增加、颈静脉充盈、外</w:t>
      </w:r>
    </w:p>
    <w:p w14:paraId="38DED220">
      <w:pPr>
        <w:pStyle w:val="169"/>
        <w:numPr>
          <w:ilvl w:val="255"/>
          <w:numId w:val="0"/>
        </w:numPr>
      </w:pPr>
      <w:r>
        <w:t>周水肿、端坐呼吸等症状和体征。</w:t>
      </w:r>
    </w:p>
    <w:p w14:paraId="71B52CF4">
      <w:pPr>
        <w:pStyle w:val="169"/>
      </w:pPr>
      <w:r>
        <w:t>应教会患者学会记录出入量，患者每天记录出入量，入量即进入体内的所有液体，如：饮食量、饮水量、水果食用量等；出量即从体内排出的所有液体，如：大小便、痰液等。</w:t>
      </w:r>
    </w:p>
    <w:p w14:paraId="2F9E1AD8">
      <w:pPr>
        <w:pStyle w:val="169"/>
      </w:pPr>
      <w:r>
        <w:t>轻度或稳定期心力衰竭患者不建议严格限制钠的摄入。询问患者盐和液体消耗量，建议患者减少高盐的摄入或液体消耗、避免使用低钠盐。</w:t>
      </w:r>
    </w:p>
    <w:p w14:paraId="02DA9EC8">
      <w:pPr>
        <w:pStyle w:val="169"/>
      </w:pPr>
      <w:r>
        <w:t>无明显低血容量因素(大出血、严重脱水、大汗淋漓等)的</w:t>
      </w:r>
      <w:r>
        <w:rPr>
          <w:rFonts w:hint="eastAsia"/>
        </w:rPr>
        <w:t>急性失代偿期心力衰竭患者</w:t>
      </w:r>
      <w:r>
        <w:t>，每天摄入液体量</w:t>
      </w:r>
      <w:r>
        <w:rPr>
          <w:rFonts w:hint="eastAsia"/>
          <w:lang w:val="en-US" w:eastAsia="zh-CN"/>
        </w:rPr>
        <w:t>一般宜在</w:t>
      </w:r>
      <w:r>
        <w:t>1500</w:t>
      </w:r>
      <w:r>
        <w:rPr>
          <w:rFonts w:hint="eastAsia"/>
          <w:lang w:val="en-US" w:eastAsia="zh-CN"/>
        </w:rPr>
        <w:t xml:space="preserve"> </w:t>
      </w:r>
      <w:r>
        <w:t>ml</w:t>
      </w:r>
      <w:r>
        <w:rPr>
          <w:rFonts w:hint="eastAsia"/>
          <w:lang w:val="en-US" w:eastAsia="zh-CN"/>
        </w:rPr>
        <w:t>以内</w:t>
      </w:r>
      <w:r>
        <w:t>，</w:t>
      </w:r>
      <w:r>
        <w:rPr>
          <w:rFonts w:hint="eastAsia"/>
          <w:lang w:val="en-US" w:eastAsia="zh-CN"/>
        </w:rPr>
        <w:t>不要超过2000 ml，</w:t>
      </w:r>
      <w:r>
        <w:t>保持每天出入量负平衡约500</w:t>
      </w:r>
      <w:r>
        <w:rPr>
          <w:rFonts w:hint="eastAsia"/>
          <w:lang w:val="en-US" w:eastAsia="zh-CN"/>
        </w:rPr>
        <w:t xml:space="preserve"> </w:t>
      </w:r>
      <w:r>
        <w:t>ml。</w:t>
      </w:r>
    </w:p>
    <w:p w14:paraId="59D70685">
      <w:pPr>
        <w:pStyle w:val="169"/>
      </w:pPr>
      <w:r>
        <w:t>Ⅲ</w:t>
      </w:r>
      <w:r>
        <w:rPr>
          <w:rFonts w:hint="eastAsia"/>
          <w:lang w:val="en-US" w:eastAsia="zh-CN"/>
        </w:rPr>
        <w:t>级</w:t>
      </w:r>
      <w:r>
        <w:t>～Ⅳ级心功能患者有淤血症状时，钠的摄入应&lt;3</w:t>
      </w:r>
      <w:r>
        <w:rPr>
          <w:rFonts w:hint="eastAsia"/>
          <w:lang w:val="en-US" w:eastAsia="zh-CN"/>
        </w:rPr>
        <w:t xml:space="preserve"> </w:t>
      </w:r>
      <w:r>
        <w:t>g/d；心力衰竭急性发作伴有容量负荷过重的患者钠的摄入应&lt;2</w:t>
      </w:r>
      <w:r>
        <w:rPr>
          <w:rFonts w:hint="eastAsia"/>
          <w:lang w:val="en-US" w:eastAsia="zh-CN"/>
        </w:rPr>
        <w:t xml:space="preserve"> </w:t>
      </w:r>
      <w:r>
        <w:t>g/d；严重低钠血症(血钠&lt;130</w:t>
      </w:r>
      <w:r>
        <w:rPr>
          <w:rFonts w:hint="eastAsia"/>
          <w:lang w:val="en-US" w:eastAsia="zh-CN"/>
        </w:rPr>
        <w:t xml:space="preserve"> </w:t>
      </w:r>
      <w:r>
        <w:t>mmol/L)患者水摄入量应&lt;2</w:t>
      </w:r>
      <w:r>
        <w:rPr>
          <w:rFonts w:hint="eastAsia"/>
          <w:lang w:val="en-US" w:eastAsia="zh-CN"/>
        </w:rPr>
        <w:t xml:space="preserve"> </w:t>
      </w:r>
      <w:r>
        <w:t>L/d；难治性终末期心力衰竭患者24</w:t>
      </w:r>
      <w:r>
        <w:rPr>
          <w:rFonts w:hint="eastAsia"/>
          <w:lang w:val="en-US" w:eastAsia="zh-CN"/>
        </w:rPr>
        <w:t xml:space="preserve"> </w:t>
      </w:r>
      <w:r>
        <w:t>h出量应多于入量500</w:t>
      </w:r>
      <w:r>
        <w:rPr>
          <w:rFonts w:hint="eastAsia"/>
          <w:lang w:val="en-US" w:eastAsia="zh-CN"/>
        </w:rPr>
        <w:t xml:space="preserve"> </w:t>
      </w:r>
      <w:r>
        <w:t>ml～1500</w:t>
      </w:r>
      <w:r>
        <w:rPr>
          <w:rFonts w:hint="eastAsia"/>
          <w:lang w:val="en-US" w:eastAsia="zh-CN"/>
        </w:rPr>
        <w:t xml:space="preserve"> </w:t>
      </w:r>
      <w:r>
        <w:t>ml，使用床旁超滤治疗的患者，减轻液体潴留症状。</w:t>
      </w:r>
    </w:p>
    <w:p w14:paraId="4D31BD9B">
      <w:pPr>
        <w:pStyle w:val="169"/>
      </w:pPr>
      <w:r>
        <w:t>严重肺水肿患者保持负平衡为1000</w:t>
      </w:r>
      <w:r>
        <w:rPr>
          <w:rFonts w:hint="eastAsia"/>
          <w:lang w:val="en-US" w:eastAsia="zh-CN"/>
        </w:rPr>
        <w:t xml:space="preserve"> </w:t>
      </w:r>
      <w:r>
        <w:t>ml/d～2000</w:t>
      </w:r>
      <w:r>
        <w:rPr>
          <w:rFonts w:hint="eastAsia"/>
          <w:lang w:val="en-US" w:eastAsia="zh-CN"/>
        </w:rPr>
        <w:t xml:space="preserve"> </w:t>
      </w:r>
      <w:r>
        <w:t>ml/d，最多3000</w:t>
      </w:r>
      <w:r>
        <w:rPr>
          <w:rFonts w:hint="eastAsia"/>
          <w:lang w:val="en-US" w:eastAsia="zh-CN"/>
        </w:rPr>
        <w:t xml:space="preserve"> </w:t>
      </w:r>
      <w:r>
        <w:t>ml/d～5000</w:t>
      </w:r>
      <w:r>
        <w:rPr>
          <w:rFonts w:hint="eastAsia"/>
          <w:lang w:val="en-US" w:eastAsia="zh-CN"/>
        </w:rPr>
        <w:t xml:space="preserve"> </w:t>
      </w:r>
      <w:r>
        <w:t>ml/d，减少水钠潴留。3</w:t>
      </w:r>
      <w:r>
        <w:rPr>
          <w:rFonts w:hint="eastAsia"/>
          <w:lang w:val="en-US" w:eastAsia="zh-CN"/>
        </w:rPr>
        <w:t xml:space="preserve"> </w:t>
      </w:r>
      <w:r>
        <w:t>d～5</w:t>
      </w:r>
      <w:r>
        <w:rPr>
          <w:rFonts w:hint="eastAsia"/>
          <w:lang w:val="en-US" w:eastAsia="zh-CN"/>
        </w:rPr>
        <w:t xml:space="preserve"> </w:t>
      </w:r>
      <w:r>
        <w:t>d后，如肺淤血、水肿消退明显，应减少水负平衡量，逐渐过渡到出入量基本平衡。水负平衡下应注意防止发生低血容量、低钾血症和低钠血症等症状，钠的摄入应&lt;2</w:t>
      </w:r>
      <w:r>
        <w:rPr>
          <w:rFonts w:hint="eastAsia"/>
          <w:lang w:val="en-US" w:eastAsia="zh-CN"/>
        </w:rPr>
        <w:t xml:space="preserve"> </w:t>
      </w:r>
      <w:r>
        <w:t>g/d。</w:t>
      </w:r>
    </w:p>
    <w:p w14:paraId="02379962">
      <w:pPr>
        <w:pStyle w:val="70"/>
        <w:adjustRightInd w:val="0"/>
        <w:snapToGrid w:val="0"/>
        <w:spacing w:before="120" w:after="120" w:line="300" w:lineRule="auto"/>
      </w:pPr>
      <w:r>
        <w:rPr>
          <w:rFonts w:hint="eastAsia"/>
        </w:rPr>
        <w:t>症状管理</w:t>
      </w:r>
    </w:p>
    <w:p w14:paraId="3C522B7C">
      <w:pPr>
        <w:pStyle w:val="99"/>
        <w:adjustRightInd w:val="0"/>
        <w:snapToGrid w:val="0"/>
        <w:spacing w:before="120" w:after="120" w:line="300" w:lineRule="auto"/>
      </w:pPr>
      <w:r>
        <w:rPr>
          <w:rFonts w:hint="eastAsia"/>
        </w:rPr>
        <w:t>呼吸困难</w:t>
      </w:r>
    </w:p>
    <w:p w14:paraId="069C6E28">
      <w:pPr>
        <w:pStyle w:val="172"/>
        <w:adjustRightInd w:val="0"/>
        <w:snapToGrid w:val="0"/>
      </w:pPr>
      <w:r>
        <w:t>针对轻中度呼吸困难的心力衰竭病人：夜间睡眠给予高枕卧位或半卧位</w:t>
      </w:r>
      <w:r>
        <w:rPr>
          <w:rFonts w:hint="eastAsia"/>
        </w:rPr>
        <w:t>。</w:t>
      </w:r>
    </w:p>
    <w:p w14:paraId="5B7F7A31">
      <w:pPr>
        <w:pStyle w:val="172"/>
        <w:adjustRightInd w:val="0"/>
        <w:snapToGrid w:val="0"/>
      </w:pPr>
      <w:r>
        <w:t>推荐心力衰竭病人</w:t>
      </w:r>
      <w:r>
        <w:rPr>
          <w:rFonts w:hint="eastAsia"/>
        </w:rPr>
        <w:t>缓解期</w:t>
      </w:r>
      <w:r>
        <w:t>可进行呼吸训练：深呼吸、缩唇呼吸、缩唇‐腹式呼吸</w:t>
      </w:r>
      <w:r>
        <w:rPr>
          <w:rFonts w:hint="eastAsia"/>
        </w:rPr>
        <w:t>。</w:t>
      </w:r>
    </w:p>
    <w:p w14:paraId="3682D8B4">
      <w:pPr>
        <w:pStyle w:val="172"/>
      </w:pPr>
      <w:r>
        <w:t>出现严重的呼吸困难时：①调整体位，静息时呼吸困难明显者，应半卧位或端坐位，双腿下垂以减少回心血量，降低心脏前负荷；②吸氧，无低氧血症的患者不应常规吸氧。当SpO</w:t>
      </w:r>
      <w:r>
        <w:rPr>
          <w:vertAlign w:val="superscript"/>
        </w:rPr>
        <w:t>2</w:t>
      </w:r>
      <w:r>
        <w:t>&lt;90或动脉血氧分压（PaO</w:t>
      </w:r>
      <w:r>
        <w:rPr>
          <w:vertAlign w:val="superscript"/>
        </w:rPr>
        <w:t>2</w:t>
      </w:r>
      <w:r>
        <w:t>&lt;60</w:t>
      </w:r>
      <w:r>
        <w:rPr>
          <w:rFonts w:hint="eastAsia"/>
          <w:lang w:val="en-US" w:eastAsia="zh-CN"/>
        </w:rPr>
        <w:t xml:space="preserve"> </w:t>
      </w:r>
      <w:r>
        <w:t>mmHg）时应给予氧疗，使患者SpO</w:t>
      </w:r>
      <w:r>
        <w:rPr>
          <w:vertAlign w:val="superscript"/>
        </w:rPr>
        <w:t>2</w:t>
      </w:r>
      <w:r>
        <w:t>≥95%（伴COPD者SpO</w:t>
      </w:r>
      <w:r>
        <w:rPr>
          <w:vertAlign w:val="superscript"/>
        </w:rPr>
        <w:t>2</w:t>
      </w:r>
      <w:r>
        <w:t>&gt;90%）</w:t>
      </w:r>
      <w:r>
        <w:rPr>
          <w:rFonts w:hint="eastAsia"/>
        </w:rPr>
        <w:t>。</w:t>
      </w:r>
      <w:r>
        <w:t>鼻导管吸氧：低氧流量（1</w:t>
      </w:r>
      <w:r>
        <w:rPr>
          <w:rFonts w:hint="eastAsia"/>
          <w:lang w:val="en-US" w:eastAsia="zh-CN"/>
        </w:rPr>
        <w:t xml:space="preserve"> </w:t>
      </w:r>
      <w:r>
        <w:t>L/min</w:t>
      </w:r>
      <w:r>
        <w:rPr>
          <w:rFonts w:hint="eastAsia"/>
        </w:rPr>
        <w:t>～</w:t>
      </w:r>
      <w:r>
        <w:t>2</w:t>
      </w:r>
      <w:r>
        <w:rPr>
          <w:rFonts w:hint="eastAsia"/>
          <w:lang w:val="en-US" w:eastAsia="zh-CN"/>
        </w:rPr>
        <w:t xml:space="preserve"> </w:t>
      </w:r>
      <w:r>
        <w:t>L/min）开始，若无CO</w:t>
      </w:r>
      <w:r>
        <w:rPr>
          <w:vertAlign w:val="superscript"/>
        </w:rPr>
        <w:t>2</w:t>
      </w:r>
      <w:r>
        <w:t>潴留，可采用高流量给氧（6</w:t>
      </w:r>
      <w:r>
        <w:rPr>
          <w:rFonts w:hint="eastAsia"/>
          <w:lang w:val="en-US" w:eastAsia="zh-CN"/>
        </w:rPr>
        <w:t xml:space="preserve"> </w:t>
      </w:r>
      <w:r>
        <w:t>L/min</w:t>
      </w:r>
      <w:r>
        <w:rPr>
          <w:rFonts w:hint="eastAsia"/>
        </w:rPr>
        <w:t>～</w:t>
      </w:r>
      <w:r>
        <w:t>8</w:t>
      </w:r>
      <w:r>
        <w:rPr>
          <w:rFonts w:hint="eastAsia"/>
          <w:lang w:val="en-US" w:eastAsia="zh-CN"/>
        </w:rPr>
        <w:t xml:space="preserve"> </w:t>
      </w:r>
      <w:r>
        <w:t>L/min）</w:t>
      </w:r>
      <w:r>
        <w:rPr>
          <w:rFonts w:hint="eastAsia"/>
        </w:rPr>
        <w:t>。</w:t>
      </w:r>
    </w:p>
    <w:p w14:paraId="053EAAF0">
      <w:pPr>
        <w:pStyle w:val="99"/>
        <w:adjustRightInd w:val="0"/>
        <w:snapToGrid w:val="0"/>
        <w:spacing w:before="120" w:after="120" w:line="300" w:lineRule="auto"/>
      </w:pPr>
      <w:r>
        <w:t>水肿</w:t>
      </w:r>
    </w:p>
    <w:p w14:paraId="212F2C9F">
      <w:pPr>
        <w:pStyle w:val="172"/>
        <w:adjustRightInd w:val="0"/>
        <w:snapToGrid w:val="0"/>
      </w:pPr>
      <w:r>
        <w:t>水肿识别：体重增加和尿量减少是反映水肿的观察指标；如3</w:t>
      </w:r>
      <w:r>
        <w:rPr>
          <w:rFonts w:hint="eastAsia"/>
          <w:lang w:val="en-US" w:eastAsia="zh-CN"/>
        </w:rPr>
        <w:t xml:space="preserve"> </w:t>
      </w:r>
      <w:r>
        <w:t>d内体重持续增加2</w:t>
      </w:r>
      <w:r>
        <w:rPr>
          <w:rFonts w:hint="eastAsia"/>
          <w:lang w:val="en-US" w:eastAsia="zh-CN"/>
        </w:rPr>
        <w:t xml:space="preserve"> </w:t>
      </w:r>
      <w:r>
        <w:t>kg，提示出现水肿或水肿加重，应服用利尿剂并尽早就诊</w:t>
      </w:r>
      <w:r>
        <w:rPr>
          <w:rFonts w:hint="eastAsia"/>
        </w:rPr>
        <w:t>。</w:t>
      </w:r>
    </w:p>
    <w:p w14:paraId="6321A610">
      <w:pPr>
        <w:pStyle w:val="172"/>
        <w:adjustRightInd w:val="0"/>
        <w:snapToGrid w:val="0"/>
      </w:pPr>
      <w:r>
        <w:t>水肿监测：</w:t>
      </w:r>
      <w:r>
        <w:rPr>
          <w:rFonts w:hint="eastAsia"/>
        </w:rPr>
        <w:t>应</w:t>
      </w:r>
      <w:r>
        <w:t>每日同一时间、同一条件下测量并记录体重</w:t>
      </w:r>
      <w:r>
        <w:rPr>
          <w:rFonts w:hint="eastAsia"/>
        </w:rPr>
        <w:t>。</w:t>
      </w:r>
    </w:p>
    <w:p w14:paraId="689E03DD">
      <w:pPr>
        <w:pStyle w:val="172"/>
        <w:adjustRightInd w:val="0"/>
        <w:snapToGrid w:val="0"/>
      </w:pPr>
      <w:r>
        <w:t>限水：</w:t>
      </w:r>
      <w:r>
        <w:rPr>
          <w:rFonts w:hint="eastAsia"/>
        </w:rPr>
        <w:fldChar w:fldCharType="begin"/>
      </w:r>
      <w:r>
        <w:rPr>
          <w:rFonts w:hint="eastAsia"/>
        </w:rPr>
        <w:instrText xml:space="preserve"> EQ \o\ac(○,1)</w:instrText>
      </w:r>
      <w:r>
        <w:rPr>
          <w:rFonts w:hint="eastAsia"/>
        </w:rPr>
        <w:fldChar w:fldCharType="end"/>
      </w:r>
      <w:r>
        <w:t>无明显低血容量因素（如脱水严重、大量出汗等）者，24</w:t>
      </w:r>
      <w:r>
        <w:rPr>
          <w:rFonts w:hint="eastAsia"/>
          <w:lang w:val="en-US" w:eastAsia="zh-CN"/>
        </w:rPr>
        <w:t xml:space="preserve"> </w:t>
      </w:r>
      <w:r>
        <w:t>h摄入液体量一般宜在</w:t>
      </w:r>
      <w:r>
        <w:rPr>
          <w:rFonts w:hint="eastAsia"/>
        </w:rPr>
        <w:t>1500</w:t>
      </w:r>
      <w:r>
        <w:rPr>
          <w:rFonts w:hint="eastAsia"/>
          <w:lang w:val="en-US" w:eastAsia="zh-CN"/>
        </w:rPr>
        <w:t xml:space="preserve"> </w:t>
      </w:r>
      <w:r>
        <w:t>mL内，不可超过</w:t>
      </w:r>
      <w:r>
        <w:rPr>
          <w:rFonts w:hint="eastAsia"/>
        </w:rPr>
        <w:t>2000</w:t>
      </w:r>
      <w:r>
        <w:rPr>
          <w:rFonts w:hint="eastAsia"/>
          <w:lang w:val="en-US" w:eastAsia="zh-CN"/>
        </w:rPr>
        <w:t xml:space="preserve"> </w:t>
      </w:r>
      <w:r>
        <w:t>mL；</w:t>
      </w:r>
      <w:r>
        <w:rPr>
          <w:rFonts w:hint="eastAsia"/>
        </w:rPr>
        <w:fldChar w:fldCharType="begin"/>
      </w:r>
      <w:r>
        <w:rPr>
          <w:rFonts w:hint="eastAsia"/>
        </w:rPr>
        <w:instrText xml:space="preserve"> EQ \o\ac(○,2)</w:instrText>
      </w:r>
      <w:r>
        <w:rPr>
          <w:rFonts w:hint="eastAsia"/>
        </w:rPr>
        <w:fldChar w:fldCharType="end"/>
      </w:r>
      <w:r>
        <w:t>肺水肿者保持每天出入量负平衡约500</w:t>
      </w:r>
      <w:r>
        <w:rPr>
          <w:rFonts w:hint="eastAsia"/>
          <w:lang w:val="en-US" w:eastAsia="zh-CN"/>
        </w:rPr>
        <w:t xml:space="preserve"> </w:t>
      </w:r>
      <w:r>
        <w:t>mL，严重者为</w:t>
      </w:r>
      <w:r>
        <w:rPr>
          <w:rFonts w:hint="eastAsia"/>
        </w:rPr>
        <w:t>1000</w:t>
      </w:r>
      <w:r>
        <w:rPr>
          <w:rFonts w:hint="eastAsia"/>
          <w:lang w:val="en-US" w:eastAsia="zh-CN"/>
        </w:rPr>
        <w:t xml:space="preserve"> </w:t>
      </w:r>
      <w:r>
        <w:t>mL/d</w:t>
      </w:r>
      <w:r>
        <w:rPr>
          <w:rFonts w:hint="eastAsia"/>
        </w:rPr>
        <w:t>～</w:t>
      </w:r>
      <w:r>
        <w:t>2</w:t>
      </w:r>
      <w:r>
        <w:rPr>
          <w:rFonts w:hint="eastAsia"/>
        </w:rPr>
        <w:t>000</w:t>
      </w:r>
      <w:r>
        <w:rPr>
          <w:rFonts w:hint="eastAsia"/>
          <w:lang w:val="en-US" w:eastAsia="zh-CN"/>
        </w:rPr>
        <w:t xml:space="preserve"> </w:t>
      </w:r>
      <w:r>
        <w:t>mL/d，甚至可达</w:t>
      </w:r>
      <w:r>
        <w:rPr>
          <w:rFonts w:hint="eastAsia"/>
        </w:rPr>
        <w:t>3000</w:t>
      </w:r>
      <w:r>
        <w:rPr>
          <w:rFonts w:hint="eastAsia"/>
          <w:lang w:val="en-US" w:eastAsia="zh-CN"/>
        </w:rPr>
        <w:t xml:space="preserve"> </w:t>
      </w:r>
      <w:r>
        <w:t>mL/d</w:t>
      </w:r>
      <w:r>
        <w:rPr>
          <w:rFonts w:hint="eastAsia"/>
        </w:rPr>
        <w:t>～</w:t>
      </w:r>
      <w:r>
        <w:t>5</w:t>
      </w:r>
      <w:r>
        <w:rPr>
          <w:rFonts w:hint="eastAsia"/>
        </w:rPr>
        <w:t>000</w:t>
      </w:r>
      <w:r>
        <w:rPr>
          <w:rFonts w:hint="eastAsia"/>
          <w:lang w:val="en-US" w:eastAsia="zh-CN"/>
        </w:rPr>
        <w:t xml:space="preserve"> </w:t>
      </w:r>
      <w:r>
        <w:t>mL/d，以缓解水肿；</w:t>
      </w:r>
      <w:r>
        <w:rPr>
          <w:rFonts w:hint="eastAsia"/>
        </w:rPr>
        <w:fldChar w:fldCharType="begin"/>
      </w:r>
      <w:r>
        <w:rPr>
          <w:rFonts w:hint="eastAsia"/>
        </w:rPr>
        <w:instrText xml:space="preserve"> EQ \o\ac(○,3)</w:instrText>
      </w:r>
      <w:r>
        <w:rPr>
          <w:rFonts w:hint="eastAsia"/>
        </w:rPr>
        <w:fldChar w:fldCharType="end"/>
      </w:r>
      <w:r>
        <w:t>3</w:t>
      </w:r>
      <w:r>
        <w:rPr>
          <w:rFonts w:hint="eastAsia"/>
          <w:lang w:val="en-US" w:eastAsia="zh-CN"/>
        </w:rPr>
        <w:t xml:space="preserve"> d</w:t>
      </w:r>
      <w:r>
        <w:rPr>
          <w:rFonts w:hint="eastAsia"/>
        </w:rPr>
        <w:t>～</w:t>
      </w:r>
      <w:r>
        <w:t>5</w:t>
      </w:r>
      <w:r>
        <w:rPr>
          <w:rFonts w:hint="eastAsia"/>
          <w:lang w:val="en-US" w:eastAsia="zh-CN"/>
        </w:rPr>
        <w:t xml:space="preserve"> </w:t>
      </w:r>
      <w:r>
        <w:t>d后根据水肿消退情况，逐步减少水负平衡标准，直至过渡到出入量平衡</w:t>
      </w:r>
      <w:r>
        <w:rPr>
          <w:rFonts w:hint="eastAsia"/>
        </w:rPr>
        <w:t>。</w:t>
      </w:r>
    </w:p>
    <w:p w14:paraId="20CFCA91">
      <w:pPr>
        <w:pStyle w:val="172"/>
        <w:adjustRightInd w:val="0"/>
        <w:snapToGrid w:val="0"/>
      </w:pPr>
      <w:r>
        <w:t>限钠：</w:t>
      </w:r>
      <w:r>
        <w:rPr>
          <w:rFonts w:hint="eastAsia"/>
        </w:rPr>
        <w:fldChar w:fldCharType="begin"/>
      </w:r>
      <w:r>
        <w:rPr>
          <w:rFonts w:hint="eastAsia"/>
        </w:rPr>
        <w:instrText xml:space="preserve"> EQ \o\ac(○,1)</w:instrText>
      </w:r>
      <w:r>
        <w:rPr>
          <w:rFonts w:hint="eastAsia"/>
        </w:rPr>
        <w:fldChar w:fldCharType="end"/>
      </w:r>
      <w:r>
        <w:t>急性心力衰竭病人应摄入钠&lt;6</w:t>
      </w:r>
      <w:r>
        <w:rPr>
          <w:rFonts w:hint="eastAsia"/>
          <w:lang w:val="en-US" w:eastAsia="zh-CN"/>
        </w:rPr>
        <w:t xml:space="preserve"> </w:t>
      </w:r>
      <w:r>
        <w:t>g/d；</w:t>
      </w:r>
      <w:r>
        <w:rPr>
          <w:rFonts w:hint="eastAsia"/>
        </w:rPr>
        <w:fldChar w:fldCharType="begin"/>
      </w:r>
      <w:r>
        <w:rPr>
          <w:rFonts w:hint="eastAsia"/>
        </w:rPr>
        <w:instrText xml:space="preserve"> EQ \o\ac(○,2)</w:instrText>
      </w:r>
      <w:r>
        <w:rPr>
          <w:rFonts w:hint="eastAsia"/>
        </w:rPr>
        <w:fldChar w:fldCharType="end"/>
      </w:r>
      <w:r>
        <w:t>心力衰竭急性发作伴严重水肿者，要限制钠摄入&lt;2</w:t>
      </w:r>
      <w:r>
        <w:rPr>
          <w:rFonts w:hint="eastAsia"/>
          <w:lang w:val="en-US" w:eastAsia="zh-CN"/>
        </w:rPr>
        <w:t xml:space="preserve"> </w:t>
      </w:r>
      <w:r>
        <w:t>g/d；</w:t>
      </w:r>
      <w:r>
        <w:rPr>
          <w:rFonts w:hint="eastAsia"/>
        </w:rPr>
        <w:fldChar w:fldCharType="begin"/>
      </w:r>
      <w:r>
        <w:rPr>
          <w:rFonts w:hint="eastAsia"/>
        </w:rPr>
        <w:instrText xml:space="preserve"> EQ \o\ac(○,3)</w:instrText>
      </w:r>
      <w:r>
        <w:rPr>
          <w:rFonts w:hint="eastAsia"/>
        </w:rPr>
        <w:fldChar w:fldCharType="end"/>
      </w:r>
      <w:r>
        <w:t>心力衰竭稳定期不主张严格限钠；</w:t>
      </w:r>
      <w:r>
        <w:rPr>
          <w:rFonts w:hint="eastAsia"/>
        </w:rPr>
        <w:fldChar w:fldCharType="begin"/>
      </w:r>
      <w:r>
        <w:rPr>
          <w:rFonts w:hint="eastAsia"/>
        </w:rPr>
        <w:instrText xml:space="preserve"> EQ \o\ac(○,4)</w:instrText>
      </w:r>
      <w:r>
        <w:rPr>
          <w:rFonts w:hint="eastAsia"/>
        </w:rPr>
        <w:fldChar w:fldCharType="end"/>
      </w:r>
      <w:r>
        <w:t>因低钠盐中含钾量过高，故不建议心力衰竭病人使用</w:t>
      </w:r>
      <w:r>
        <w:rPr>
          <w:rFonts w:hint="eastAsia"/>
        </w:rPr>
        <w:t>。</w:t>
      </w:r>
    </w:p>
    <w:p w14:paraId="54C39C08">
      <w:pPr>
        <w:pStyle w:val="172"/>
        <w:adjustRightInd w:val="0"/>
        <w:snapToGrid w:val="0"/>
      </w:pPr>
      <w:r>
        <w:rPr>
          <w:rFonts w:hint="eastAsia"/>
        </w:rPr>
        <w:t>皮肤护理：应指导患者保持皮肤、床铺清洁干燥，可取舒适体位以预防压疮的发生。</w:t>
      </w:r>
    </w:p>
    <w:p w14:paraId="4A8EE9CF">
      <w:pPr>
        <w:pStyle w:val="99"/>
        <w:adjustRightInd w:val="0"/>
        <w:snapToGrid w:val="0"/>
        <w:spacing w:before="120" w:after="120" w:line="300" w:lineRule="auto"/>
      </w:pPr>
      <w:r>
        <w:t>消化系统症状</w:t>
      </w:r>
      <w:r>
        <w:rPr>
          <w:rFonts w:hint="eastAsia"/>
        </w:rPr>
        <w:t>。</w:t>
      </w:r>
    </w:p>
    <w:p w14:paraId="08545A05">
      <w:pPr>
        <w:pStyle w:val="172"/>
        <w:adjustRightInd w:val="0"/>
        <w:snapToGrid w:val="0"/>
      </w:pPr>
      <w:r>
        <w:rPr>
          <w:rFonts w:hint="eastAsia"/>
        </w:rPr>
        <w:t>应</w:t>
      </w:r>
      <w:r>
        <w:t>根据病人的用药、饮食情况，制定个体化营养调护方案</w:t>
      </w:r>
      <w:r>
        <w:rPr>
          <w:rFonts w:hint="eastAsia"/>
        </w:rPr>
        <w:t>。</w:t>
      </w:r>
    </w:p>
    <w:p w14:paraId="5415CEC9">
      <w:pPr>
        <w:pStyle w:val="172"/>
        <w:adjustRightInd w:val="0"/>
        <w:snapToGrid w:val="0"/>
      </w:pPr>
      <w:r>
        <w:t>食物选择：一般</w:t>
      </w:r>
      <w:r>
        <w:rPr>
          <w:rFonts w:hint="eastAsia"/>
        </w:rPr>
        <w:t>应</w:t>
      </w:r>
      <w:r>
        <w:t>低热量、高纤维、易消化、限钠盐；少量多餐，注意维持电解质平衡</w:t>
      </w:r>
      <w:r>
        <w:rPr>
          <w:rFonts w:hint="eastAsia"/>
        </w:rPr>
        <w:t>。</w:t>
      </w:r>
    </w:p>
    <w:p w14:paraId="2FFBBE10">
      <w:pPr>
        <w:pStyle w:val="172"/>
        <w:adjustRightInd w:val="0"/>
        <w:snapToGrid w:val="0"/>
      </w:pPr>
      <w:r>
        <w:rPr>
          <w:rFonts w:hint="eastAsia"/>
        </w:rPr>
        <w:t>宜</w:t>
      </w:r>
      <w:r>
        <w:t>腹部按摩：</w:t>
      </w:r>
      <w:r>
        <w:rPr>
          <w:rFonts w:hint="eastAsia"/>
        </w:rPr>
        <w:fldChar w:fldCharType="begin"/>
      </w:r>
      <w:r>
        <w:rPr>
          <w:rFonts w:hint="eastAsia"/>
        </w:rPr>
        <w:instrText xml:space="preserve"> EQ \o\ac(○,1)</w:instrText>
      </w:r>
      <w:r>
        <w:rPr>
          <w:rFonts w:hint="eastAsia"/>
        </w:rPr>
        <w:fldChar w:fldCharType="end"/>
      </w:r>
      <w:r>
        <w:t>一般采取仰卧位；</w:t>
      </w:r>
      <w:r>
        <w:rPr>
          <w:rFonts w:hint="eastAsia"/>
        </w:rPr>
        <w:fldChar w:fldCharType="begin"/>
      </w:r>
      <w:r>
        <w:rPr>
          <w:rFonts w:hint="eastAsia"/>
        </w:rPr>
        <w:instrText xml:space="preserve"> EQ \o\ac(○,2)</w:instrText>
      </w:r>
      <w:r>
        <w:rPr>
          <w:rFonts w:hint="eastAsia"/>
        </w:rPr>
        <w:fldChar w:fldCharType="end"/>
      </w:r>
      <w:r>
        <w:t>用大鱼际肌及掌根，从右下腹开始，按照顺时针方向环形按摩下腹部，由轻到重，推拿式按摩</w:t>
      </w:r>
      <w:r>
        <w:rPr>
          <w:rFonts w:hint="eastAsia"/>
        </w:rPr>
        <w:t>。</w:t>
      </w:r>
    </w:p>
    <w:p w14:paraId="40F764BB">
      <w:pPr>
        <w:pStyle w:val="70"/>
        <w:adjustRightInd w:val="0"/>
        <w:snapToGrid w:val="0"/>
        <w:spacing w:before="120" w:after="120" w:line="300" w:lineRule="auto"/>
      </w:pPr>
      <w:r>
        <w:rPr>
          <w:rFonts w:hint="eastAsia"/>
        </w:rPr>
        <w:t>心理管理</w:t>
      </w:r>
    </w:p>
    <w:p w14:paraId="4BCB7A60">
      <w:pPr>
        <w:pStyle w:val="169"/>
        <w:adjustRightInd w:val="0"/>
        <w:snapToGrid w:val="0"/>
        <w:rPr>
          <w:rFonts w:hAnsi="Times New Roman"/>
        </w:rPr>
      </w:pPr>
      <w:r>
        <w:rPr>
          <w:rFonts w:hAnsi="Times New Roman"/>
        </w:rPr>
        <w:t>定期使用医院焦虑抑郁量表筛查和评估患者焦虑、抑郁的情况。</w:t>
      </w:r>
    </w:p>
    <w:p w14:paraId="7F464567">
      <w:pPr>
        <w:pStyle w:val="169"/>
        <w:adjustRightInd w:val="0"/>
        <w:snapToGrid w:val="0"/>
        <w:rPr>
          <w:rFonts w:hAnsi="Times New Roman"/>
        </w:rPr>
      </w:pPr>
      <w:r>
        <w:rPr>
          <w:rFonts w:hAnsi="Times New Roman"/>
        </w:rPr>
        <w:t>对抑郁患者可进行认知行为疗法干预。</w:t>
      </w:r>
    </w:p>
    <w:p w14:paraId="79D8D58C">
      <w:pPr>
        <w:pStyle w:val="169"/>
        <w:adjustRightInd w:val="0"/>
        <w:snapToGrid w:val="0"/>
        <w:rPr>
          <w:rFonts w:hAnsi="Times New Roman"/>
        </w:rPr>
      </w:pPr>
      <w:r>
        <w:rPr>
          <w:rFonts w:hAnsi="Times New Roman"/>
        </w:rPr>
        <w:t>对焦虑患者可进行放松疗法并结合舒缓音乐。</w:t>
      </w:r>
    </w:p>
    <w:p w14:paraId="6564F918">
      <w:pPr>
        <w:pStyle w:val="169"/>
        <w:adjustRightInd w:val="0"/>
        <w:snapToGrid w:val="0"/>
        <w:rPr>
          <w:rFonts w:hAnsi="Times New Roman"/>
        </w:rPr>
      </w:pPr>
      <w:r>
        <w:rPr>
          <w:rFonts w:hAnsi="Times New Roman"/>
        </w:rPr>
        <w:t>对焦虑、抑郁的病人可进行运动疗法结合认知行为疗法。</w:t>
      </w:r>
    </w:p>
    <w:p w14:paraId="4407F655">
      <w:pPr>
        <w:pStyle w:val="169"/>
        <w:adjustRightInd w:val="0"/>
        <w:snapToGrid w:val="0"/>
        <w:rPr>
          <w:rFonts w:hAnsi="Times New Roman"/>
        </w:rPr>
      </w:pPr>
      <w:r>
        <w:rPr>
          <w:rFonts w:hAnsi="Times New Roman"/>
        </w:rPr>
        <w:t>指导家属给予患者充分的关爱和支持；家属应积极配合患者的相关治疗，提供积极的经济、生活、心理等支持，主动与患者沟通交流，了解患者心理状况，以减轻患者的心理负担。</w:t>
      </w:r>
    </w:p>
    <w:p w14:paraId="371122D1">
      <w:pPr>
        <w:pStyle w:val="169"/>
        <w:adjustRightInd w:val="0"/>
        <w:snapToGrid w:val="0"/>
        <w:rPr>
          <w:rFonts w:hAnsi="Times New Roman"/>
        </w:rPr>
      </w:pPr>
      <w:r>
        <w:rPr>
          <w:rFonts w:hAnsi="Times New Roman"/>
        </w:rPr>
        <w:t>由医护人员组织患者与患者面对面交流座谈，让治疗效果好的病人分享自身的经验与感受，组成互助式的同伴支持小组，可进行线上、线下交流。</w:t>
      </w:r>
    </w:p>
    <w:p w14:paraId="3152E193">
      <w:pPr>
        <w:pStyle w:val="70"/>
        <w:adjustRightInd w:val="0"/>
        <w:snapToGrid w:val="0"/>
        <w:spacing w:before="120" w:after="120" w:line="300" w:lineRule="auto"/>
      </w:pPr>
      <w:r>
        <w:rPr>
          <w:rFonts w:hint="eastAsia"/>
        </w:rPr>
        <w:t>常用中医保健疗法</w:t>
      </w:r>
    </w:p>
    <w:p w14:paraId="1B84DACA">
      <w:pPr>
        <w:pStyle w:val="169"/>
        <w:adjustRightInd w:val="0"/>
        <w:snapToGrid w:val="0"/>
        <w:rPr>
          <w:rFonts w:hAnsi="Times New Roman"/>
        </w:rPr>
      </w:pPr>
      <w:r>
        <w:rPr>
          <w:rFonts w:hAnsi="Times New Roman"/>
        </w:rPr>
        <w:t>穴位按摩：宜选合谷、神门、内关穴位，每日1次，每次10</w:t>
      </w:r>
      <w:r>
        <w:rPr>
          <w:rFonts w:hint="eastAsia" w:hAnsi="Times New Roman"/>
          <w:lang w:val="en-US" w:eastAsia="zh-CN"/>
        </w:rPr>
        <w:t xml:space="preserve"> min</w:t>
      </w:r>
      <w:r>
        <w:rPr>
          <w:rFonts w:hAnsi="Times New Roman"/>
        </w:rPr>
        <w:t>～15</w:t>
      </w:r>
      <w:r>
        <w:rPr>
          <w:rFonts w:hint="eastAsia" w:hAnsi="Times New Roman"/>
          <w:lang w:val="en-US" w:eastAsia="zh-CN"/>
        </w:rPr>
        <w:t xml:space="preserve"> min</w:t>
      </w:r>
      <w:r>
        <w:rPr>
          <w:rFonts w:hAnsi="Times New Roman"/>
        </w:rPr>
        <w:t>。</w:t>
      </w:r>
    </w:p>
    <w:p w14:paraId="21F5892D">
      <w:pPr>
        <w:pStyle w:val="169"/>
        <w:adjustRightInd w:val="0"/>
        <w:snapToGrid w:val="0"/>
        <w:rPr>
          <w:rFonts w:hAnsi="Times New Roman"/>
        </w:rPr>
      </w:pPr>
      <w:r>
        <w:rPr>
          <w:rFonts w:hAnsi="Times New Roman"/>
        </w:rPr>
        <w:t>耳穴贴压：耳廓应先用75％乙醇消毒，</w:t>
      </w:r>
      <w:r>
        <w:rPr>
          <w:rFonts w:hint="eastAsia" w:hAnsi="Times New Roman"/>
        </w:rPr>
        <w:t>将王不留行籽贴在穴位敏感点</w:t>
      </w:r>
      <w:r>
        <w:rPr>
          <w:rFonts w:hint="eastAsia" w:hAnsi="Times New Roman"/>
          <w:lang w:eastAsia="zh-CN"/>
        </w:rPr>
        <w:t>，</w:t>
      </w:r>
      <w:r>
        <w:rPr>
          <w:rFonts w:hint="eastAsia" w:hAnsi="Times New Roman"/>
          <w:lang w:val="en-US" w:eastAsia="zh-CN"/>
        </w:rPr>
        <w:t>宜选心穴、肺穴</w:t>
      </w:r>
      <w:r>
        <w:rPr>
          <w:rFonts w:hAnsi="Times New Roman"/>
        </w:rPr>
        <w:t>，每穴用拇、示指对捏，以中等力量和速度按压，至患者有胀、酸感或微感刺痛及耳廓发热为宜。每日3</w:t>
      </w:r>
      <w:r>
        <w:rPr>
          <w:rFonts w:hint="eastAsia" w:hAnsi="Times New Roman"/>
          <w:lang w:val="en-US" w:eastAsia="zh-CN"/>
        </w:rPr>
        <w:t>次</w:t>
      </w:r>
      <w:r>
        <w:rPr>
          <w:rFonts w:hAnsi="Times New Roman"/>
        </w:rPr>
        <w:t>～5次，每次每穴位按压1</w:t>
      </w:r>
      <w:r>
        <w:rPr>
          <w:rFonts w:hint="eastAsia" w:hAnsi="Times New Roman"/>
          <w:lang w:val="en-US" w:eastAsia="zh-CN"/>
        </w:rPr>
        <w:t xml:space="preserve"> min</w:t>
      </w:r>
      <w:r>
        <w:rPr>
          <w:rFonts w:hAnsi="Times New Roman"/>
        </w:rPr>
        <w:t>～2</w:t>
      </w:r>
      <w:r>
        <w:rPr>
          <w:rFonts w:hint="eastAsia" w:hAnsi="Times New Roman"/>
          <w:lang w:val="en-US" w:eastAsia="zh-CN"/>
        </w:rPr>
        <w:t xml:space="preserve"> min</w:t>
      </w:r>
      <w:r>
        <w:rPr>
          <w:rFonts w:hAnsi="Times New Roman"/>
        </w:rPr>
        <w:t>，两耳穴交替贴压，每隔2</w:t>
      </w:r>
      <w:r>
        <w:rPr>
          <w:rFonts w:hint="eastAsia" w:hAnsi="Times New Roman"/>
          <w:lang w:val="en-US" w:eastAsia="zh-CN"/>
        </w:rPr>
        <w:t>天</w:t>
      </w:r>
      <w:r>
        <w:rPr>
          <w:rFonts w:hAnsi="Times New Roman"/>
        </w:rPr>
        <w:t>～3天一换。</w:t>
      </w:r>
    </w:p>
    <w:p w14:paraId="02E9E458">
      <w:pPr>
        <w:pStyle w:val="169"/>
        <w:adjustRightInd w:val="0"/>
        <w:snapToGrid w:val="0"/>
        <w:rPr>
          <w:rFonts w:hAnsi="Times New Roman"/>
        </w:rPr>
      </w:pPr>
      <w:r>
        <w:rPr>
          <w:rFonts w:hAnsi="Times New Roman"/>
        </w:rPr>
        <w:t>八段锦：宜参照国体总局新编的八段锦运动要领，共八个动作，两手托天理三焦、左右开弓似射雕、调理脾胃须单举、五劳七伤往后瞧、摇头摆尾去心火、两手攀足固肾腰、攒拳怒目增气力、背后七颠百病消。运动时间20</w:t>
      </w:r>
      <w:r>
        <w:rPr>
          <w:rFonts w:hint="eastAsia" w:hAnsi="Times New Roman"/>
          <w:lang w:val="en-US" w:eastAsia="zh-CN"/>
        </w:rPr>
        <w:t xml:space="preserve"> min</w:t>
      </w:r>
      <w:r>
        <w:rPr>
          <w:rFonts w:hAnsi="Times New Roman"/>
        </w:rPr>
        <w:t>～30</w:t>
      </w:r>
      <w:r>
        <w:rPr>
          <w:rFonts w:hint="eastAsia" w:hAnsi="Times New Roman"/>
          <w:lang w:val="en-US" w:eastAsia="zh-CN"/>
        </w:rPr>
        <w:t xml:space="preserve"> min</w:t>
      </w:r>
      <w:r>
        <w:rPr>
          <w:rFonts w:hAnsi="Times New Roman"/>
        </w:rPr>
        <w:t>，每天1次，运动强度参考自我感知劳累用力程度计分法（Borg评分建议在11</w:t>
      </w:r>
      <w:r>
        <w:rPr>
          <w:rFonts w:hint="eastAsia" w:hAnsi="Times New Roman"/>
          <w:lang w:val="en-US" w:eastAsia="zh-CN"/>
        </w:rPr>
        <w:t>分</w:t>
      </w:r>
      <w:r>
        <w:rPr>
          <w:rFonts w:hAnsi="Times New Roman"/>
        </w:rPr>
        <w:t>～12分），运动频率为每天1次。</w:t>
      </w:r>
    </w:p>
    <w:p w14:paraId="3ACD6E68">
      <w:pPr>
        <w:pStyle w:val="70"/>
        <w:adjustRightInd w:val="0"/>
        <w:snapToGrid w:val="0"/>
        <w:spacing w:before="120" w:after="120" w:line="300" w:lineRule="auto"/>
      </w:pPr>
      <w:r>
        <w:rPr>
          <w:rFonts w:hint="eastAsia"/>
        </w:rPr>
        <w:t>戒烟限酒</w:t>
      </w:r>
    </w:p>
    <w:p w14:paraId="558B4E6A">
      <w:pPr>
        <w:pStyle w:val="99"/>
        <w:adjustRightInd w:val="0"/>
        <w:snapToGrid w:val="0"/>
        <w:spacing w:before="120" w:after="120" w:line="300" w:lineRule="auto"/>
      </w:pPr>
      <w:r>
        <w:rPr>
          <w:rFonts w:hint="eastAsia"/>
        </w:rPr>
        <w:t>评估</w:t>
      </w:r>
    </w:p>
    <w:p w14:paraId="2BA5D4FA">
      <w:pPr>
        <w:snapToGrid w:val="0"/>
        <w:spacing w:line="300" w:lineRule="auto"/>
        <w:ind w:firstLine="420" w:firstLineChars="200"/>
        <w:rPr>
          <w:rFonts w:ascii="黑体" w:hAnsi="黑体" w:eastAsia="黑体" w:cs="宋体"/>
        </w:rPr>
      </w:pPr>
      <w:r>
        <w:rPr>
          <w:rFonts w:ascii="宋体" w:hAnsi="宋体" w:cs="宋体"/>
        </w:rPr>
        <w:t>应了解患者是否吸烟，吸烟支数和年数和戒烟意愿，宜通过《FTND烟草依赖度量表》评价患者的烟草依赖程度，对不吸烟者应了解是否有二手烟接触史。对已戒烟患者应了解戒烟时间，是否有复吸经历，对戒烟半年内的患者应评估是否有戒断症状以及复吸的风险。</w:t>
      </w:r>
    </w:p>
    <w:p w14:paraId="4D6B7CA4">
      <w:pPr>
        <w:pStyle w:val="99"/>
        <w:adjustRightInd w:val="0"/>
        <w:snapToGrid w:val="0"/>
        <w:spacing w:before="120" w:after="120" w:line="300" w:lineRule="auto"/>
      </w:pPr>
      <w:r>
        <w:rPr>
          <w:rFonts w:hint="eastAsia"/>
        </w:rPr>
        <w:t>干预</w:t>
      </w:r>
    </w:p>
    <w:p w14:paraId="60017EEE">
      <w:pPr>
        <w:pStyle w:val="172"/>
        <w:adjustRightInd w:val="0"/>
        <w:snapToGrid w:val="0"/>
      </w:pPr>
      <w:r>
        <w:rPr>
          <w:rFonts w:hint="eastAsia"/>
        </w:rPr>
        <w:t>应</w:t>
      </w:r>
      <w:r>
        <w:t>对吸烟患者应进行持续吸烟的风险教育，告知其二手烟的健康风险及戒烟的重要性。</w:t>
      </w:r>
    </w:p>
    <w:p w14:paraId="583FFEF3">
      <w:pPr>
        <w:pStyle w:val="172"/>
        <w:adjustRightInd w:val="0"/>
        <w:snapToGrid w:val="0"/>
      </w:pPr>
      <w:r>
        <w:t>应介绍尼古丁戒断症状，告知患者在出现这些症状时会发生什么以及如何应对。</w:t>
      </w:r>
    </w:p>
    <w:p w14:paraId="3B127B68">
      <w:pPr>
        <w:pStyle w:val="172"/>
        <w:adjustRightInd w:val="0"/>
        <w:snapToGrid w:val="0"/>
      </w:pPr>
      <w:r>
        <w:rPr>
          <w:rFonts w:hint="eastAsia"/>
        </w:rPr>
        <w:t>应鼓励患者进行行为咨询，包括面对面咨询（戒烟小组或戒烟门诊）、戒烟热线、短信、网络干预和手机应用程序</w:t>
      </w:r>
      <w:r>
        <w:t>。</w:t>
      </w:r>
    </w:p>
    <w:p w14:paraId="479CDBBE">
      <w:pPr>
        <w:pStyle w:val="172"/>
        <w:adjustRightInd w:val="0"/>
        <w:snapToGrid w:val="0"/>
      </w:pPr>
      <w:r>
        <w:t>中药治疗，可推荐代茶饮组方，鱼腥草10</w:t>
      </w:r>
      <w:r>
        <w:rPr>
          <w:rFonts w:hint="eastAsia"/>
          <w:lang w:val="en-US" w:eastAsia="zh-CN"/>
        </w:rPr>
        <w:t xml:space="preserve"> </w:t>
      </w:r>
      <w:r>
        <w:t>g，远志10</w:t>
      </w:r>
      <w:r>
        <w:rPr>
          <w:rFonts w:hint="eastAsia"/>
          <w:lang w:val="en-US" w:eastAsia="zh-CN"/>
        </w:rPr>
        <w:t xml:space="preserve"> </w:t>
      </w:r>
      <w:r>
        <w:t>g，地龙6</w:t>
      </w:r>
      <w:r>
        <w:rPr>
          <w:rFonts w:hint="eastAsia"/>
          <w:lang w:val="en-US" w:eastAsia="zh-CN"/>
        </w:rPr>
        <w:t xml:space="preserve"> </w:t>
      </w:r>
      <w:r>
        <w:t>g，藿香10</w:t>
      </w:r>
      <w:r>
        <w:rPr>
          <w:rFonts w:hint="eastAsia"/>
          <w:lang w:val="en-US" w:eastAsia="zh-CN"/>
        </w:rPr>
        <w:t xml:space="preserve"> </w:t>
      </w:r>
      <w:r>
        <w:t>g，薄荷10</w:t>
      </w:r>
      <w:r>
        <w:rPr>
          <w:rFonts w:hint="eastAsia"/>
          <w:lang w:val="en-US" w:eastAsia="zh-CN"/>
        </w:rPr>
        <w:t xml:space="preserve"> </w:t>
      </w:r>
      <w:bookmarkStart w:id="72" w:name="_GoBack"/>
      <w:bookmarkEnd w:id="72"/>
      <w:r>
        <w:t>g。沏茶每日一剂。</w:t>
      </w:r>
    </w:p>
    <w:p w14:paraId="70702E86">
      <w:pPr>
        <w:pStyle w:val="110"/>
        <w:adjustRightInd w:val="0"/>
        <w:snapToGrid w:val="0"/>
        <w:spacing w:before="120" w:after="120" w:line="300" w:lineRule="auto"/>
      </w:pPr>
      <w:r>
        <w:rPr>
          <w:rFonts w:hint="eastAsia"/>
        </w:rPr>
        <w:t>跟踪随访</w:t>
      </w:r>
    </w:p>
    <w:p w14:paraId="78CF254C">
      <w:pPr>
        <w:pStyle w:val="70"/>
        <w:adjustRightInd w:val="0"/>
        <w:snapToGrid w:val="0"/>
        <w:spacing w:before="120" w:after="120" w:line="300" w:lineRule="auto"/>
      </w:pPr>
      <w:r>
        <w:rPr>
          <w:rFonts w:hint="eastAsia"/>
        </w:rPr>
        <w:t>随访管理目的</w:t>
      </w:r>
    </w:p>
    <w:p w14:paraId="0131F6A8">
      <w:pPr>
        <w:pStyle w:val="169"/>
        <w:adjustRightInd w:val="0"/>
        <w:snapToGrid w:val="0"/>
        <w:rPr>
          <w:rFonts w:hAnsi="Times New Roman"/>
        </w:rPr>
      </w:pPr>
      <w:r>
        <w:rPr>
          <w:rFonts w:hAnsi="Times New Roman"/>
        </w:rPr>
        <w:t>应个体化评估治疗效果，及时调整慢病管理方案，实现心功能、血压、体重、血脂维持目标水平。</w:t>
      </w:r>
    </w:p>
    <w:p w14:paraId="5A90A6F3">
      <w:pPr>
        <w:pStyle w:val="169"/>
        <w:adjustRightInd w:val="0"/>
        <w:snapToGrid w:val="0"/>
        <w:rPr>
          <w:rFonts w:hAnsi="Times New Roman"/>
        </w:rPr>
      </w:pPr>
      <w:r>
        <w:rPr>
          <w:rFonts w:hAnsi="Times New Roman"/>
        </w:rPr>
        <w:t>应督促定期检测BNP、血常规、凝血、肝肾功能、电解质、心电图、心脏彩超等。</w:t>
      </w:r>
    </w:p>
    <w:p w14:paraId="19F2D275">
      <w:pPr>
        <w:pStyle w:val="169"/>
        <w:adjustRightInd w:val="0"/>
        <w:snapToGrid w:val="0"/>
        <w:rPr>
          <w:rFonts w:hAnsi="Times New Roman"/>
        </w:rPr>
      </w:pPr>
      <w:r>
        <w:rPr>
          <w:rFonts w:hAnsi="Times New Roman"/>
        </w:rPr>
        <w:t>应督促监测患者健康情况，减少用药，控制医疗保健成本。</w:t>
      </w:r>
    </w:p>
    <w:p w14:paraId="57AEF0D9">
      <w:pPr>
        <w:pStyle w:val="70"/>
        <w:adjustRightInd w:val="0"/>
        <w:snapToGrid w:val="0"/>
        <w:spacing w:before="120" w:after="120" w:line="300" w:lineRule="auto"/>
      </w:pPr>
      <w:r>
        <w:rPr>
          <w:rFonts w:hint="eastAsia"/>
        </w:rPr>
        <w:t>随访管理原则</w:t>
      </w:r>
    </w:p>
    <w:p w14:paraId="7C9234E2">
      <w:pPr>
        <w:pStyle w:val="169"/>
        <w:adjustRightInd w:val="0"/>
        <w:snapToGrid w:val="0"/>
        <w:rPr>
          <w:rFonts w:hAnsi="Times New Roman"/>
        </w:rPr>
      </w:pPr>
      <w:r>
        <w:rPr>
          <w:rFonts w:hAnsi="Times New Roman"/>
        </w:rPr>
        <w:t>个体化原则：可根据患者所患疾病的病情严重程度及发展变化，定制个体化的具有中医特色的健康指导方案。</w:t>
      </w:r>
    </w:p>
    <w:p w14:paraId="24417462">
      <w:pPr>
        <w:pStyle w:val="169"/>
        <w:adjustRightInd w:val="0"/>
        <w:snapToGrid w:val="0"/>
        <w:rPr>
          <w:rFonts w:hAnsi="Times New Roman"/>
        </w:rPr>
      </w:pPr>
      <w:r>
        <w:rPr>
          <w:rFonts w:hAnsi="Times New Roman"/>
        </w:rPr>
        <w:t>综合性管理原则：应包括药物治疗、非药物治疗包括饮食、运动、心理等综合性措施。</w:t>
      </w:r>
    </w:p>
    <w:p w14:paraId="7CE8C6A7">
      <w:pPr>
        <w:pStyle w:val="169"/>
        <w:adjustRightInd w:val="0"/>
        <w:snapToGrid w:val="0"/>
        <w:rPr>
          <w:rFonts w:hAnsi="Times New Roman"/>
        </w:rPr>
      </w:pPr>
      <w:r>
        <w:rPr>
          <w:rFonts w:hAnsi="Times New Roman"/>
        </w:rPr>
        <w:t>连续性管理原则：应对登记管理的患者进行连续性动态管理。初始为1</w:t>
      </w:r>
      <w:r>
        <w:rPr>
          <w:rFonts w:hint="eastAsia" w:hAnsi="Times New Roman"/>
          <w:lang w:val="en-US" w:eastAsia="zh-CN"/>
        </w:rPr>
        <w:t>周</w:t>
      </w:r>
      <w:r>
        <w:rPr>
          <w:rFonts w:hAnsi="Times New Roman"/>
        </w:rPr>
        <w:t>～2周1次，病情稳</w:t>
      </w:r>
      <w:r>
        <w:rPr>
          <w:rFonts w:hint="eastAsia" w:hAnsi="Times New Roman"/>
        </w:rPr>
        <w:t>定</w:t>
      </w:r>
      <w:r>
        <w:rPr>
          <w:rFonts w:hAnsi="Times New Roman"/>
        </w:rPr>
        <w:t>后为3</w:t>
      </w:r>
      <w:r>
        <w:rPr>
          <w:rFonts w:hint="eastAsia" w:hAnsi="Times New Roman"/>
          <w:lang w:val="en-US" w:eastAsia="zh-CN"/>
        </w:rPr>
        <w:t>个</w:t>
      </w:r>
      <w:r>
        <w:rPr>
          <w:rFonts w:hAnsi="Times New Roman"/>
        </w:rPr>
        <w:t>～6个月1次。每次随访间隔时间不得超过6个月。</w:t>
      </w:r>
    </w:p>
    <w:p w14:paraId="5EFD304D">
      <w:pPr>
        <w:pStyle w:val="70"/>
        <w:adjustRightInd w:val="0"/>
        <w:snapToGrid w:val="0"/>
        <w:spacing w:before="120" w:after="120" w:line="300" w:lineRule="auto"/>
      </w:pPr>
      <w:r>
        <w:rPr>
          <w:rFonts w:hint="eastAsia"/>
        </w:rPr>
        <w:t>随访管理内容</w:t>
      </w:r>
    </w:p>
    <w:p w14:paraId="6D2A44A4">
      <w:pPr>
        <w:pStyle w:val="169"/>
        <w:adjustRightInd w:val="0"/>
        <w:snapToGrid w:val="0"/>
        <w:rPr>
          <w:rFonts w:hAnsi="Times New Roman"/>
        </w:rPr>
      </w:pPr>
      <w:r>
        <w:rPr>
          <w:rFonts w:hAnsi="Times New Roman"/>
        </w:rPr>
        <w:t>建立健康档案:应首次建档表格涵盖一般情况、首次病例记录、心脏专科检查结果、运动能力评估、中医辨证评分及生活质量评分等。</w:t>
      </w:r>
    </w:p>
    <w:p w14:paraId="57101682">
      <w:pPr>
        <w:pStyle w:val="169"/>
        <w:adjustRightInd w:val="0"/>
        <w:snapToGrid w:val="0"/>
        <w:rPr>
          <w:rFonts w:hAnsi="Times New Roman"/>
        </w:rPr>
      </w:pPr>
      <w:r>
        <w:rPr>
          <w:rFonts w:hAnsi="Times New Roman"/>
        </w:rPr>
        <w:t>心衰康复分期管理:应主要包括门诊康复期和院外长期康复管理。</w:t>
      </w:r>
    </w:p>
    <w:p w14:paraId="62514695">
      <w:pPr>
        <w:pStyle w:val="169"/>
        <w:adjustRightInd w:val="0"/>
        <w:snapToGrid w:val="0"/>
        <w:rPr>
          <w:rFonts w:hAnsi="Times New Roman"/>
        </w:rPr>
      </w:pPr>
      <w:r>
        <w:rPr>
          <w:rFonts w:hAnsi="Times New Roman"/>
        </w:rPr>
        <w:t>拟定随访计划:应根据患者病情，制定饮食、运动、药物、情绪等随访管理计划。定期选派心血管或康复专家深入社区开展联合义诊、健康讲座或会诊等活动。</w:t>
      </w:r>
    </w:p>
    <w:p w14:paraId="2CDC96BD">
      <w:pPr>
        <w:pStyle w:val="70"/>
        <w:adjustRightInd w:val="0"/>
        <w:snapToGrid w:val="0"/>
        <w:spacing w:before="120" w:after="120" w:line="300" w:lineRule="auto"/>
      </w:pPr>
      <w:r>
        <w:rPr>
          <w:rFonts w:hint="eastAsia"/>
        </w:rPr>
        <w:t>随访方式</w:t>
      </w:r>
    </w:p>
    <w:p w14:paraId="7BFB787C">
      <w:pPr>
        <w:pStyle w:val="169"/>
        <w:adjustRightInd w:val="0"/>
        <w:snapToGrid w:val="0"/>
        <w:rPr>
          <w:rFonts w:hAnsi="Times New Roman"/>
        </w:rPr>
      </w:pPr>
      <w:r>
        <w:rPr>
          <w:rFonts w:hAnsi="Times New Roman"/>
        </w:rPr>
        <w:t>电话、微信随访：应定期向患者进行电话、微信随访，了解患者康复现状及出院慢病管理计划落实情况。</w:t>
      </w:r>
    </w:p>
    <w:p w14:paraId="2D89FE20">
      <w:pPr>
        <w:pStyle w:val="169"/>
        <w:adjustRightInd w:val="0"/>
        <w:snapToGrid w:val="0"/>
        <w:rPr>
          <w:rFonts w:hAnsi="Times New Roman"/>
        </w:rPr>
      </w:pPr>
      <w:r>
        <w:rPr>
          <w:rFonts w:hAnsi="Times New Roman"/>
        </w:rPr>
        <w:t>门诊随访：根据患者病情及心衰医疗门诊、护理专科门诊和心脏康复门诊时间，应定期为患者预约门诊随访。</w:t>
      </w:r>
    </w:p>
    <w:p w14:paraId="6DAF8425">
      <w:pPr>
        <w:pStyle w:val="169"/>
        <w:adjustRightInd w:val="0"/>
        <w:snapToGrid w:val="0"/>
        <w:rPr>
          <w:rFonts w:hAnsi="Times New Roman"/>
        </w:rPr>
      </w:pPr>
      <w:r>
        <w:rPr>
          <w:rFonts w:hAnsi="Times New Roman"/>
        </w:rPr>
        <w:t>家庭访视：应定期实地考察患者的生活情况，发现问题及时指导、纠正或给予专业的建议。</w:t>
      </w:r>
    </w:p>
    <w:p w14:paraId="36AB03BC">
      <w:pPr>
        <w:pStyle w:val="169"/>
        <w:adjustRightInd w:val="0"/>
        <w:snapToGrid w:val="0"/>
      </w:pPr>
      <w:r>
        <w:rPr>
          <w:rFonts w:hAnsi="Times New Roman"/>
        </w:rPr>
        <w:t>远程监测：可利用现代科技，如远程医疗设备、手机应用程序等，监测患者的生命体征和症状变化，及时发现异常并采取相应的措施。</w:t>
      </w:r>
      <w:bookmarkEnd w:id="29"/>
      <w:bookmarkStart w:id="67" w:name="BookMark5"/>
    </w:p>
    <w:bookmarkEnd w:id="67"/>
    <w:p w14:paraId="06B85BF5">
      <w:pPr>
        <w:pStyle w:val="61"/>
        <w:ind w:firstLine="420"/>
        <w:sectPr>
          <w:footerReference r:id="rId12" w:type="default"/>
          <w:footerReference r:id="rId13" w:type="even"/>
          <w:pgSz w:w="11906" w:h="16838"/>
          <w:pgMar w:top="2410" w:right="1134" w:bottom="1134" w:left="1134" w:header="1418" w:footer="1134" w:gutter="284"/>
          <w:pgNumType w:start="1"/>
          <w:cols w:space="425" w:num="1"/>
          <w:formProt w:val="0"/>
          <w:docGrid w:linePitch="312" w:charSpace="0"/>
        </w:sectPr>
      </w:pPr>
      <w:bookmarkStart w:id="68" w:name="BookMark6"/>
    </w:p>
    <w:p w14:paraId="6E83C1D1">
      <w:pPr>
        <w:pStyle w:val="68"/>
        <w:spacing w:before="96" w:after="120"/>
        <w:ind w:left="3685" w:leftChars="1755" w:right="4108" w:rightChars="1956"/>
        <w:jc w:val="distribute"/>
        <w:rPr>
          <w:rFonts w:hint="eastAsia"/>
        </w:rPr>
      </w:pPr>
      <w:bookmarkStart w:id="69" w:name="_Toc91516517"/>
      <w:bookmarkStart w:id="70" w:name="_Toc97885768"/>
      <w:r>
        <w:rPr>
          <w:rFonts w:hint="eastAsia"/>
        </w:rPr>
        <w:t>参考文献</w:t>
      </w:r>
      <w:bookmarkEnd w:id="69"/>
      <w:bookmarkEnd w:id="70"/>
    </w:p>
    <w:p w14:paraId="47AD4B32">
      <w:pPr>
        <w:numPr>
          <w:ilvl w:val="0"/>
          <w:numId w:val="32"/>
        </w:numPr>
        <w:ind w:firstLine="420" w:firstLineChars="200"/>
      </w:pPr>
      <w:r>
        <w:rPr>
          <w:rFonts w:hint="eastAsia"/>
        </w:rPr>
        <w:t xml:space="preserve">中华医学会心血管病学分会,中国医师协会心血管内科医师分会,中国医师协会心力衰竭专业委员会,等.中国心力衰竭诊断和治疗指南2024.中华心血管病杂志,2024,52(3):235-275. </w:t>
      </w:r>
    </w:p>
    <w:p w14:paraId="666D0481">
      <w:pPr>
        <w:numPr>
          <w:ilvl w:val="0"/>
          <w:numId w:val="32"/>
        </w:numPr>
        <w:ind w:firstLine="420" w:firstLineChars="200"/>
      </w:pPr>
      <w:r>
        <w:rPr>
          <w:rFonts w:hint="eastAsia"/>
        </w:rPr>
        <w:t>中华医学会,中华医学会杂志社,中华医学会全科医学分会,等.中国心力衰竭基层诊疗与管理指南（2024年）[J].中华全科医师杂志，2024，23(6):549-577.</w:t>
      </w:r>
    </w:p>
    <w:p w14:paraId="560B0EAE">
      <w:pPr>
        <w:numPr>
          <w:ilvl w:val="0"/>
          <w:numId w:val="32"/>
        </w:numPr>
        <w:ind w:firstLine="420" w:firstLineChars="200"/>
      </w:pPr>
      <w:r>
        <w:t>McDonagh TA，Metra M，Adamo M，et al. 2021 ESC guidelines for the diagnosis and treatment of acute and chronic</w:t>
      </w:r>
      <w:r>
        <w:rPr>
          <w:rFonts w:hint="eastAsia"/>
        </w:rPr>
        <w:t xml:space="preserve"> </w:t>
      </w:r>
      <w:r>
        <w:t>heart failure［J］.Eur Heart J，2021，42（36）：3599- 3726.</w:t>
      </w:r>
    </w:p>
    <w:p w14:paraId="26901ACF">
      <w:pPr>
        <w:numPr>
          <w:ilvl w:val="0"/>
          <w:numId w:val="32"/>
        </w:numPr>
        <w:ind w:firstLine="420" w:firstLineChars="200"/>
      </w:pPr>
      <w:r>
        <w:rPr>
          <w:rFonts w:hint="eastAsia"/>
        </w:rPr>
        <w:t>车琳,戴翠莲,刘伟静,等. 心脏康复分级诊疗中国专家共识[J].中国介入心脏病学杂志,2022,30(08): 561-572．</w:t>
      </w:r>
    </w:p>
    <w:p w14:paraId="171AAA87">
      <w:pPr>
        <w:numPr>
          <w:ilvl w:val="0"/>
          <w:numId w:val="32"/>
        </w:numPr>
        <w:ind w:firstLine="420" w:firstLineChars="200"/>
      </w:pPr>
      <w:r>
        <w:rPr>
          <w:rFonts w:hint="eastAsia"/>
        </w:rPr>
        <w:t>湖北省心血管内科医疗质量控制中心,武汉医学会心血管病学分会心衰学组,湖北省医师协会心血管内科医师分会,等.心力衰竭常见病因及合并症的基层处理专家建议[J].临床心血管病杂志, 2024, 40(3):161.</w:t>
      </w:r>
    </w:p>
    <w:p w14:paraId="3B73902C">
      <w:pPr>
        <w:numPr>
          <w:ilvl w:val="0"/>
          <w:numId w:val="32"/>
        </w:numPr>
        <w:ind w:firstLine="420" w:firstLineChars="200"/>
      </w:pPr>
      <w:r>
        <w:t>林红</w:t>
      </w:r>
      <w:r>
        <w:rPr>
          <w:rFonts w:hint="eastAsia"/>
        </w:rPr>
        <w:t>，</w:t>
      </w:r>
      <w:r>
        <w:t>孙国珍</w:t>
      </w:r>
      <w:r>
        <w:rPr>
          <w:rFonts w:hint="eastAsia"/>
        </w:rPr>
        <w:t>，</w:t>
      </w:r>
      <w:r>
        <w:t>张海锋</w:t>
      </w:r>
      <w:r>
        <w:rPr>
          <w:rFonts w:hint="eastAsia"/>
        </w:rPr>
        <w:t>，</w:t>
      </w:r>
      <w:r>
        <w:t>等.心力衰竭患者微型营养评价量表的改良及其信效度检验[J].中华护理杂志</w:t>
      </w:r>
      <w:r>
        <w:rPr>
          <w:rFonts w:hint="eastAsia"/>
        </w:rPr>
        <w:t>，</w:t>
      </w:r>
      <w:r>
        <w:t>2017</w:t>
      </w:r>
      <w:r>
        <w:rPr>
          <w:rFonts w:hint="eastAsia"/>
        </w:rPr>
        <w:t>，</w:t>
      </w:r>
      <w:r>
        <w:t>52(02):150-153.</w:t>
      </w:r>
    </w:p>
    <w:p w14:paraId="16F1552F">
      <w:pPr>
        <w:numPr>
          <w:ilvl w:val="0"/>
          <w:numId w:val="32"/>
        </w:numPr>
        <w:ind w:firstLine="420" w:firstLineChars="200"/>
      </w:pPr>
      <w:r>
        <w:t>Jaarsma T, Hill L, Bayes-Genis A, etal. Self-care of heart failure patients: practical management recommendations from the Heart Failure Association of the European Society of CardiologyJJ]. Eur  Heart Fail, 2021, 23(1): 157-174</w:t>
      </w:r>
    </w:p>
    <w:bookmarkEnd w:id="68"/>
    <w:p w14:paraId="0B8349CB">
      <w:pPr>
        <w:pStyle w:val="61"/>
        <w:ind w:firstLine="0" w:firstLineChars="0"/>
        <w:jc w:val="center"/>
        <w:rPr>
          <w:color w:val="FF0000"/>
        </w:rPr>
      </w:pPr>
      <w:bookmarkStart w:id="71" w:name="BookMark8"/>
      <w:r>
        <w:rPr>
          <w:rFonts w:hint="eastAsia"/>
          <w:color w:val="FF0000"/>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1"/>
    </w:p>
    <w:sectPr>
      <w:footerReference r:id="rId14" w:type="default"/>
      <w:footerReference r:id="rId15" w:type="even"/>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A5BFB">
    <w:pPr>
      <w:pStyle w:val="5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34659">
    <w:pPr>
      <w:pStyle w:val="19"/>
      <w:jc w:val="left"/>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D1C6E">
    <w:pPr>
      <w:pStyle w:val="57"/>
    </w:pPr>
    <w:r>
      <w:fldChar w:fldCharType="begin"/>
    </w:r>
    <w:r>
      <w:instrText xml:space="preserve">PAGE   \* MERGEFORMAT</w:instrText>
    </w:r>
    <w:r>
      <w:fldChar w:fldCharType="separate"/>
    </w:r>
    <w:r>
      <w:rPr>
        <w:lang w:val="zh-CN"/>
      </w:rPr>
      <w:t>III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56876">
    <w:pPr>
      <w:pStyle w:val="19"/>
      <w:jc w:val="left"/>
    </w:pPr>
    <w:r>
      <w:fldChar w:fldCharType="begin"/>
    </w:r>
    <w:r>
      <w:instrText xml:space="preserve">PAGE   \* MERGEFORMAT</w:instrText>
    </w:r>
    <w:r>
      <w:fldChar w:fldCharType="separate"/>
    </w:r>
    <w:r>
      <w:rPr>
        <w:lang w:val="zh-CN"/>
      </w:rPr>
      <w:t>IV</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17725">
    <w:pPr>
      <w:pStyle w:val="5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09E808">
                          <w:pPr>
                            <w:pStyle w:val="57"/>
                          </w:pPr>
                          <w:r>
                            <w:fldChar w:fldCharType="begin"/>
                          </w:r>
                          <w:r>
                            <w:instrText xml:space="preserve">PAGE   \* MERGEFORMAT</w:instrText>
                          </w:r>
                          <w:r>
                            <w:fldChar w:fldCharType="separate"/>
                          </w:r>
                          <w:r>
                            <w:rPr>
                              <w:lang w:val="zh-CN"/>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709E808">
                    <w:pPr>
                      <w:pStyle w:val="57"/>
                    </w:pPr>
                    <w:r>
                      <w:fldChar w:fldCharType="begin"/>
                    </w:r>
                    <w:r>
                      <w:instrText xml:space="preserve">PAGE   \* MERGEFORMAT</w:instrText>
                    </w:r>
                    <w:r>
                      <w:fldChar w:fldCharType="separate"/>
                    </w:r>
                    <w:r>
                      <w:rPr>
                        <w:lang w:val="zh-CN"/>
                      </w:rPr>
                      <w:t>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7FA7C">
    <w:pPr>
      <w:pStyle w:val="19"/>
      <w:jc w:val="left"/>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6D339E">
                          <w:pPr>
                            <w:pStyle w:val="19"/>
                            <w:jc w:val="left"/>
                          </w:pPr>
                          <w:r>
                            <w:fldChar w:fldCharType="begin"/>
                          </w:r>
                          <w:r>
                            <w:instrText xml:space="preserve">PAGE   \* MERGEFORMAT</w:instrText>
                          </w:r>
                          <w:r>
                            <w:fldChar w:fldCharType="separate"/>
                          </w:r>
                          <w:r>
                            <w:rPr>
                              <w:lang w:val="zh-CN"/>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26D339E">
                    <w:pPr>
                      <w:pStyle w:val="19"/>
                      <w:jc w:val="left"/>
                    </w:pPr>
                    <w:r>
                      <w:fldChar w:fldCharType="begin"/>
                    </w:r>
                    <w:r>
                      <w:instrText xml:space="preserve">PAGE   \* MERGEFORMAT</w:instrText>
                    </w:r>
                    <w:r>
                      <w:fldChar w:fldCharType="separate"/>
                    </w:r>
                    <w:r>
                      <w:rPr>
                        <w:lang w:val="zh-CN"/>
                      </w:rPr>
                      <w:t>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9A40B">
    <w:pPr>
      <w:pStyle w:val="57"/>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E48EBD">
                          <w:pPr>
                            <w:pStyle w:val="57"/>
                          </w:pPr>
                          <w:r>
                            <w:fldChar w:fldCharType="begin"/>
                          </w:r>
                          <w:r>
                            <w:instrText xml:space="preserve">PAGE   \* MERGEFORMAT</w:instrText>
                          </w:r>
                          <w:r>
                            <w:fldChar w:fldCharType="separate"/>
                          </w:r>
                          <w:r>
                            <w:rPr>
                              <w:lang w:val="zh-CN"/>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63E48EBD">
                    <w:pPr>
                      <w:pStyle w:val="57"/>
                    </w:pPr>
                    <w:r>
                      <w:fldChar w:fldCharType="begin"/>
                    </w:r>
                    <w:r>
                      <w:instrText xml:space="preserve">PAGE   \* MERGEFORMAT</w:instrText>
                    </w:r>
                    <w:r>
                      <w:fldChar w:fldCharType="separate"/>
                    </w:r>
                    <w:r>
                      <w:rPr>
                        <w:lang w:val="zh-CN"/>
                      </w:rPr>
                      <w:t>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4AF2A">
    <w:pPr>
      <w:pStyle w:val="19"/>
      <w:jc w:val="left"/>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A39F79">
                          <w:pPr>
                            <w:pStyle w:val="19"/>
                            <w:jc w:val="left"/>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0CA39F79">
                    <w:pPr>
                      <w:pStyle w:val="19"/>
                      <w:jc w:val="left"/>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FD74A">
    <w:pPr>
      <w:pStyle w:val="66"/>
    </w:pPr>
    <w:r>
      <w:fldChar w:fldCharType="begin"/>
    </w:r>
    <w:r>
      <w:instrText xml:space="preserve"> STYLEREF  标准文件_文件编号  \* MERGEFORMAT </w:instrText>
    </w:r>
    <w:r>
      <w:fldChar w:fldCharType="separate"/>
    </w:r>
    <w:r>
      <w:t>DB44/T XXXX—2025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C8709">
    <w:pPr>
      <w:pStyle w:val="20"/>
      <w:jc w:val="left"/>
      <w:rPr>
        <w:rFonts w:ascii="黑体" w:hAnsi="黑体" w:eastAsia="黑体"/>
        <w:sz w:val="21"/>
        <w:szCs w:val="21"/>
      </w:rPr>
    </w:pPr>
    <w:r>
      <w:rPr>
        <w:rFonts w:ascii="黑体" w:hAnsi="黑体" w:eastAsia="黑体"/>
        <w:sz w:val="21"/>
        <w:szCs w:val="21"/>
      </w:rPr>
      <w:fldChar w:fldCharType="begin"/>
    </w:r>
    <w:r>
      <w:rPr>
        <w:rFonts w:ascii="黑体" w:hAnsi="黑体" w:eastAsia="黑体"/>
        <w:sz w:val="21"/>
        <w:szCs w:val="21"/>
      </w:rPr>
      <w:instrText xml:space="preserve"> STYLEREF  标准文件_文件编号  \* MERGEFORMAT </w:instrText>
    </w:r>
    <w:r>
      <w:rPr>
        <w:rFonts w:ascii="黑体" w:hAnsi="黑体" w:eastAsia="黑体"/>
        <w:sz w:val="21"/>
        <w:szCs w:val="21"/>
      </w:rPr>
      <w:fldChar w:fldCharType="separate"/>
    </w:r>
    <w:r>
      <w:rPr>
        <w:rFonts w:ascii="黑体" w:hAnsi="黑体" w:eastAsia="黑体"/>
        <w:sz w:val="21"/>
        <w:szCs w:val="21"/>
      </w:rPr>
      <w:t>DB44/T XXXX—2025</w:t>
    </w:r>
    <w:r>
      <w:rPr>
        <w:rFonts w:ascii="黑体" w:hAnsi="黑体" w:eastAsia="黑体"/>
        <w:sz w:val="21"/>
        <w:szCs w:val="21"/>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3C161">
    <w:pPr>
      <w:pStyle w:val="66"/>
    </w:pPr>
    <w:r>
      <w:fldChar w:fldCharType="begin"/>
    </w:r>
    <w:r>
      <w:instrText xml:space="preserve"> STYLEREF  标准文件_文件编号  \* MERGEFORMAT </w:instrText>
    </w:r>
    <w:r>
      <w:fldChar w:fldCharType="separate"/>
    </w:r>
    <w:r>
      <w:t>DB44/T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9"/>
      <w:suff w:val="nothing"/>
      <w:lvlText w:val="图 %1　"/>
      <w:lvlJc w:val="left"/>
      <w:pPr>
        <w:ind w:left="0" w:firstLine="0"/>
      </w:pPr>
      <w:rPr>
        <w:rFonts w:hint="eastAsia"/>
      </w:rPr>
    </w:lvl>
    <w:lvl w:ilvl="1" w:tentative="0">
      <w:start w:val="1"/>
      <w:numFmt w:val="decimal"/>
      <w:suff w:val="nothing"/>
      <w:lvlText w:val="%1%2　"/>
      <w:lvlJc w:val="left"/>
      <w:pPr>
        <w:ind w:left="0" w:firstLine="0"/>
      </w:pPr>
      <w:rPr>
        <w:rFonts w:hint="eastAsia"/>
      </w:rPr>
    </w:lvl>
    <w:lvl w:ilvl="2" w:tentative="0">
      <w:start w:val="1"/>
      <w:numFmt w:val="decimal"/>
      <w:suff w:val="nothing"/>
      <w:lvlText w:val="%1%2.%3　"/>
      <w:lvlJc w:val="left"/>
      <w:pPr>
        <w:ind w:left="0" w:firstLine="0"/>
      </w:pPr>
      <w:rPr>
        <w:rFonts w:hint="eastAsia"/>
      </w:rPr>
    </w:lvl>
    <w:lvl w:ilvl="3" w:tentative="0">
      <w:start w:val="1"/>
      <w:numFmt w:val="decimal"/>
      <w:suff w:val="nothing"/>
      <w:lvlText w:val="%1%2.%3.%4　"/>
      <w:lvlJc w:val="left"/>
      <w:pPr>
        <w:ind w:left="0" w:firstLine="0"/>
      </w:pPr>
      <w:rPr>
        <w:rFonts w:hint="eastAsia"/>
      </w:rPr>
    </w:lvl>
    <w:lvl w:ilvl="4" w:tentative="0">
      <w:start w:val="1"/>
      <w:numFmt w:val="decimal"/>
      <w:suff w:val="nothing"/>
      <w:lvlText w:val="%1%2.%3.%4.%5　"/>
      <w:lvlJc w:val="left"/>
      <w:pPr>
        <w:ind w:left="0" w:firstLine="0"/>
      </w:pPr>
      <w:rPr>
        <w:rFonts w:hint="eastAsia"/>
      </w:rPr>
    </w:lvl>
    <w:lvl w:ilvl="5" w:tentative="0">
      <w:start w:val="1"/>
      <w:numFmt w:val="decimal"/>
      <w:suff w:val="nothing"/>
      <w:lvlText w:val="%1%2.%3.%4.%5.%6　"/>
      <w:lvlJc w:val="left"/>
      <w:pPr>
        <w:ind w:left="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48"/>
        </w:tabs>
        <w:ind w:left="3969" w:hanging="1418"/>
      </w:pPr>
      <w:rPr>
        <w:rFonts w:hint="eastAsia"/>
      </w:rPr>
    </w:lvl>
    <w:lvl w:ilvl="8" w:tentative="0">
      <w:start w:val="1"/>
      <w:numFmt w:val="decimal"/>
      <w:lvlText w:val="%1.%2.%3.%4.%5.%6.%7.%8.%9"/>
      <w:lvlJc w:val="left"/>
      <w:pPr>
        <w:tabs>
          <w:tab w:val="left" w:pos="4774"/>
        </w:tabs>
        <w:ind w:left="4677" w:hanging="1701"/>
      </w:pPr>
      <w:rPr>
        <w:rFonts w:hint="eastAsia"/>
      </w:rPr>
    </w:lvl>
  </w:abstractNum>
  <w:abstractNum w:abstractNumId="18">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 %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25A6E03"/>
    <w:multiLevelType w:val="singleLevel"/>
    <w:tmpl w:val="625A6E03"/>
    <w:lvl w:ilvl="0" w:tentative="0">
      <w:start w:val="1"/>
      <w:numFmt w:val="decimal"/>
      <w:lvlText w:val="[%1]"/>
      <w:lvlJc w:val="left"/>
      <w:pPr>
        <w:tabs>
          <w:tab w:val="left" w:pos="312"/>
        </w:tabs>
      </w:pPr>
    </w:lvl>
  </w:abstractNum>
  <w:abstractNum w:abstractNumId="21">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7"/>
      <w:suff w:val="nothing"/>
      <w:lvlText w:val="表 %1　"/>
      <w:lvlJc w:val="left"/>
      <w:pPr>
        <w:ind w:left="0" w:firstLine="0"/>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7"/>
        </w:tabs>
        <w:ind w:left="1417"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1"/>
      <w:suff w:val="nothing"/>
      <w:lvlText w:val="附　录　%1"/>
      <w:lvlJc w:val="left"/>
      <w:pPr>
        <w:ind w:left="0" w:firstLine="0"/>
      </w:pPr>
      <w:rPr>
        <w:rFonts w:hint="eastAsia"/>
        <w:spacing w:val="0"/>
        <w:w w:val="100"/>
        <w:kern w:val="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1AA"/>
    <w:rsid w:val="0000040A"/>
    <w:rsid w:val="00000A94"/>
    <w:rsid w:val="00001972"/>
    <w:rsid w:val="00001D9A"/>
    <w:rsid w:val="000068DD"/>
    <w:rsid w:val="00007B3A"/>
    <w:rsid w:val="000107E0"/>
    <w:rsid w:val="00011FDE"/>
    <w:rsid w:val="00012FFD"/>
    <w:rsid w:val="00014162"/>
    <w:rsid w:val="00014340"/>
    <w:rsid w:val="00016A9C"/>
    <w:rsid w:val="00022184"/>
    <w:rsid w:val="00022762"/>
    <w:rsid w:val="000234E9"/>
    <w:rsid w:val="000238E0"/>
    <w:rsid w:val="000249DB"/>
    <w:rsid w:val="0002595E"/>
    <w:rsid w:val="000303C3"/>
    <w:rsid w:val="000331D3"/>
    <w:rsid w:val="000346A5"/>
    <w:rsid w:val="000359C3"/>
    <w:rsid w:val="00035A7D"/>
    <w:rsid w:val="000365ED"/>
    <w:rsid w:val="00041C8E"/>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C7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AA5"/>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DB1"/>
    <w:rsid w:val="001852C9"/>
    <w:rsid w:val="00187A0B"/>
    <w:rsid w:val="00190087"/>
    <w:rsid w:val="001913C4"/>
    <w:rsid w:val="00192579"/>
    <w:rsid w:val="0019348F"/>
    <w:rsid w:val="00193A07"/>
    <w:rsid w:val="00194C95"/>
    <w:rsid w:val="00195C34"/>
    <w:rsid w:val="00196EF5"/>
    <w:rsid w:val="001A1A53"/>
    <w:rsid w:val="001A234A"/>
    <w:rsid w:val="001A4CF3"/>
    <w:rsid w:val="001A6696"/>
    <w:rsid w:val="001A74BA"/>
    <w:rsid w:val="001B06E8"/>
    <w:rsid w:val="001B71D0"/>
    <w:rsid w:val="001B71EE"/>
    <w:rsid w:val="001C04A8"/>
    <w:rsid w:val="001C2C03"/>
    <w:rsid w:val="001C42F7"/>
    <w:rsid w:val="001C49E5"/>
    <w:rsid w:val="001C680C"/>
    <w:rsid w:val="001C7FEA"/>
    <w:rsid w:val="001D0499"/>
    <w:rsid w:val="001D0BBE"/>
    <w:rsid w:val="001D0ED4"/>
    <w:rsid w:val="001D1556"/>
    <w:rsid w:val="001D212F"/>
    <w:rsid w:val="001D29D7"/>
    <w:rsid w:val="001D2DE7"/>
    <w:rsid w:val="001D411C"/>
    <w:rsid w:val="001D540D"/>
    <w:rsid w:val="001E1B6A"/>
    <w:rsid w:val="001E2484"/>
    <w:rsid w:val="001E3CC4"/>
    <w:rsid w:val="001E4882"/>
    <w:rsid w:val="001E73AB"/>
    <w:rsid w:val="001F092D"/>
    <w:rsid w:val="001F143A"/>
    <w:rsid w:val="001F1605"/>
    <w:rsid w:val="001F2508"/>
    <w:rsid w:val="001F4816"/>
    <w:rsid w:val="001F65BF"/>
    <w:rsid w:val="001F69B4"/>
    <w:rsid w:val="001F77C7"/>
    <w:rsid w:val="00200183"/>
    <w:rsid w:val="00200333"/>
    <w:rsid w:val="0020107D"/>
    <w:rsid w:val="00202AA4"/>
    <w:rsid w:val="002031F7"/>
    <w:rsid w:val="002040E6"/>
    <w:rsid w:val="0020527B"/>
    <w:rsid w:val="00205C90"/>
    <w:rsid w:val="00205F2C"/>
    <w:rsid w:val="00210B15"/>
    <w:rsid w:val="0021216D"/>
    <w:rsid w:val="002142EA"/>
    <w:rsid w:val="00215ADD"/>
    <w:rsid w:val="00215EB9"/>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D1B"/>
    <w:rsid w:val="0026148A"/>
    <w:rsid w:val="00262696"/>
    <w:rsid w:val="00263D25"/>
    <w:rsid w:val="002643C3"/>
    <w:rsid w:val="00264A0C"/>
    <w:rsid w:val="00266EEB"/>
    <w:rsid w:val="00267EF4"/>
    <w:rsid w:val="00270CB8"/>
    <w:rsid w:val="00272B08"/>
    <w:rsid w:val="00273B05"/>
    <w:rsid w:val="00274BB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3C7"/>
    <w:rsid w:val="002B5779"/>
    <w:rsid w:val="002B7332"/>
    <w:rsid w:val="002B7F51"/>
    <w:rsid w:val="002C09E7"/>
    <w:rsid w:val="002C114D"/>
    <w:rsid w:val="002C1E06"/>
    <w:rsid w:val="002C30AF"/>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0FE"/>
    <w:rsid w:val="00313B85"/>
    <w:rsid w:val="00317988"/>
    <w:rsid w:val="003221B4"/>
    <w:rsid w:val="0032258D"/>
    <w:rsid w:val="00322E62"/>
    <w:rsid w:val="003244B8"/>
    <w:rsid w:val="00324D13"/>
    <w:rsid w:val="00324EDD"/>
    <w:rsid w:val="00325A65"/>
    <w:rsid w:val="003271B4"/>
    <w:rsid w:val="003331E4"/>
    <w:rsid w:val="00336C64"/>
    <w:rsid w:val="00337162"/>
    <w:rsid w:val="0034194F"/>
    <w:rsid w:val="00343BAB"/>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B2D"/>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901"/>
    <w:rsid w:val="003F3F08"/>
    <w:rsid w:val="003F487C"/>
    <w:rsid w:val="003F49F1"/>
    <w:rsid w:val="003F6272"/>
    <w:rsid w:val="00400E72"/>
    <w:rsid w:val="00401400"/>
    <w:rsid w:val="00404869"/>
    <w:rsid w:val="00405884"/>
    <w:rsid w:val="00407D39"/>
    <w:rsid w:val="0041034D"/>
    <w:rsid w:val="0041477A"/>
    <w:rsid w:val="004167A3"/>
    <w:rsid w:val="00432DAA"/>
    <w:rsid w:val="00434305"/>
    <w:rsid w:val="00435DF7"/>
    <w:rsid w:val="0044083F"/>
    <w:rsid w:val="00441AE7"/>
    <w:rsid w:val="00445574"/>
    <w:rsid w:val="004467FB"/>
    <w:rsid w:val="00451911"/>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839"/>
    <w:rsid w:val="004B0272"/>
    <w:rsid w:val="004B2701"/>
    <w:rsid w:val="004B2E1B"/>
    <w:rsid w:val="004B3AA8"/>
    <w:rsid w:val="004B3E93"/>
    <w:rsid w:val="004B5D66"/>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CD6"/>
    <w:rsid w:val="00543BDA"/>
    <w:rsid w:val="005441CC"/>
    <w:rsid w:val="005479DA"/>
    <w:rsid w:val="00547BCC"/>
    <w:rsid w:val="0055013B"/>
    <w:rsid w:val="00551F6F"/>
    <w:rsid w:val="00555044"/>
    <w:rsid w:val="00561475"/>
    <w:rsid w:val="00562308"/>
    <w:rsid w:val="0056487B"/>
    <w:rsid w:val="00564FB9"/>
    <w:rsid w:val="00571CE6"/>
    <w:rsid w:val="005720FC"/>
    <w:rsid w:val="00573D9E"/>
    <w:rsid w:val="005801E3"/>
    <w:rsid w:val="00581802"/>
    <w:rsid w:val="005836A8"/>
    <w:rsid w:val="0058409C"/>
    <w:rsid w:val="00584262"/>
    <w:rsid w:val="00586630"/>
    <w:rsid w:val="00587ADD"/>
    <w:rsid w:val="00593A49"/>
    <w:rsid w:val="00595303"/>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3B47"/>
    <w:rsid w:val="005C5F21"/>
    <w:rsid w:val="005C7156"/>
    <w:rsid w:val="005D0C75"/>
    <w:rsid w:val="005D4171"/>
    <w:rsid w:val="005D6A95"/>
    <w:rsid w:val="005D6B2C"/>
    <w:rsid w:val="005D6D9C"/>
    <w:rsid w:val="005E2335"/>
    <w:rsid w:val="005E34CA"/>
    <w:rsid w:val="005E3C18"/>
    <w:rsid w:val="005E4250"/>
    <w:rsid w:val="005E5599"/>
    <w:rsid w:val="005E6812"/>
    <w:rsid w:val="005E7881"/>
    <w:rsid w:val="005E78E0"/>
    <w:rsid w:val="005F0D9C"/>
    <w:rsid w:val="005F0E11"/>
    <w:rsid w:val="005F284E"/>
    <w:rsid w:val="006015CE"/>
    <w:rsid w:val="00604784"/>
    <w:rsid w:val="00606419"/>
    <w:rsid w:val="00607D29"/>
    <w:rsid w:val="00612952"/>
    <w:rsid w:val="00614CC1"/>
    <w:rsid w:val="00615A9D"/>
    <w:rsid w:val="00617387"/>
    <w:rsid w:val="006205D6"/>
    <w:rsid w:val="006252D8"/>
    <w:rsid w:val="006259BC"/>
    <w:rsid w:val="006262E6"/>
    <w:rsid w:val="0062636B"/>
    <w:rsid w:val="00632182"/>
    <w:rsid w:val="00632AE0"/>
    <w:rsid w:val="006338A5"/>
    <w:rsid w:val="00633C17"/>
    <w:rsid w:val="00634D9E"/>
    <w:rsid w:val="00636E3E"/>
    <w:rsid w:val="006379F7"/>
    <w:rsid w:val="00637E4D"/>
    <w:rsid w:val="00640620"/>
    <w:rsid w:val="00641A1F"/>
    <w:rsid w:val="00645904"/>
    <w:rsid w:val="00651ACB"/>
    <w:rsid w:val="00651C47"/>
    <w:rsid w:val="0065257E"/>
    <w:rsid w:val="00652AB2"/>
    <w:rsid w:val="00653FED"/>
    <w:rsid w:val="00654EC0"/>
    <w:rsid w:val="0065525B"/>
    <w:rsid w:val="00655D4F"/>
    <w:rsid w:val="00656D29"/>
    <w:rsid w:val="006640E5"/>
    <w:rsid w:val="006646F1"/>
    <w:rsid w:val="00664929"/>
    <w:rsid w:val="00664F62"/>
    <w:rsid w:val="006655E1"/>
    <w:rsid w:val="0066790B"/>
    <w:rsid w:val="00672060"/>
    <w:rsid w:val="00672BFD"/>
    <w:rsid w:val="006770F4"/>
    <w:rsid w:val="00677A84"/>
    <w:rsid w:val="0068026D"/>
    <w:rsid w:val="00680A27"/>
    <w:rsid w:val="006816A4"/>
    <w:rsid w:val="006817BD"/>
    <w:rsid w:val="006819B8"/>
    <w:rsid w:val="006840A6"/>
    <w:rsid w:val="006850CD"/>
    <w:rsid w:val="00685AAB"/>
    <w:rsid w:val="006937BF"/>
    <w:rsid w:val="006A07AA"/>
    <w:rsid w:val="006A25E5"/>
    <w:rsid w:val="006A2B46"/>
    <w:rsid w:val="006A336D"/>
    <w:rsid w:val="006A37B9"/>
    <w:rsid w:val="006B2672"/>
    <w:rsid w:val="006B54BF"/>
    <w:rsid w:val="006B5AF9"/>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7F8"/>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8FF"/>
    <w:rsid w:val="00725949"/>
    <w:rsid w:val="00727FA2"/>
    <w:rsid w:val="007316ED"/>
    <w:rsid w:val="007322D9"/>
    <w:rsid w:val="00732BC0"/>
    <w:rsid w:val="0073720F"/>
    <w:rsid w:val="00737796"/>
    <w:rsid w:val="0074165C"/>
    <w:rsid w:val="00741E49"/>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C53"/>
    <w:rsid w:val="00773C1F"/>
    <w:rsid w:val="00774543"/>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4FE"/>
    <w:rsid w:val="007C4593"/>
    <w:rsid w:val="007C5309"/>
    <w:rsid w:val="007C6069"/>
    <w:rsid w:val="007D06C4"/>
    <w:rsid w:val="007D1352"/>
    <w:rsid w:val="007D2508"/>
    <w:rsid w:val="007D346A"/>
    <w:rsid w:val="007D6518"/>
    <w:rsid w:val="007D76BD"/>
    <w:rsid w:val="007E0BF1"/>
    <w:rsid w:val="007E1F5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5E0"/>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AC1"/>
    <w:rsid w:val="008B7E05"/>
    <w:rsid w:val="008C1797"/>
    <w:rsid w:val="008C219C"/>
    <w:rsid w:val="008C475E"/>
    <w:rsid w:val="008C4FCB"/>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C7F"/>
    <w:rsid w:val="008F70BD"/>
    <w:rsid w:val="008F7132"/>
    <w:rsid w:val="008F788F"/>
    <w:rsid w:val="008F7EA2"/>
    <w:rsid w:val="00901693"/>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48A1"/>
    <w:rsid w:val="009378DD"/>
    <w:rsid w:val="009429D5"/>
    <w:rsid w:val="00942BF1"/>
    <w:rsid w:val="00943DBD"/>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296"/>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F53"/>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2C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1AA"/>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464"/>
    <w:rsid w:val="00A862D6"/>
    <w:rsid w:val="00A8715E"/>
    <w:rsid w:val="00A9295B"/>
    <w:rsid w:val="00A93B09"/>
    <w:rsid w:val="00A952D7"/>
    <w:rsid w:val="00A9564E"/>
    <w:rsid w:val="00A963F7"/>
    <w:rsid w:val="00A96AD8"/>
    <w:rsid w:val="00AA052C"/>
    <w:rsid w:val="00AA1E45"/>
    <w:rsid w:val="00AA4286"/>
    <w:rsid w:val="00AA456B"/>
    <w:rsid w:val="00AA57F5"/>
    <w:rsid w:val="00AA672E"/>
    <w:rsid w:val="00AA6EC9"/>
    <w:rsid w:val="00AB49A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D6A"/>
    <w:rsid w:val="00AF0C18"/>
    <w:rsid w:val="00AF47C5"/>
    <w:rsid w:val="00AF5398"/>
    <w:rsid w:val="00B049AF"/>
    <w:rsid w:val="00B07242"/>
    <w:rsid w:val="00B10534"/>
    <w:rsid w:val="00B113DB"/>
    <w:rsid w:val="00B11D8A"/>
    <w:rsid w:val="00B12981"/>
    <w:rsid w:val="00B147DD"/>
    <w:rsid w:val="00B156FD"/>
    <w:rsid w:val="00B21F61"/>
    <w:rsid w:val="00B22D92"/>
    <w:rsid w:val="00B261F1"/>
    <w:rsid w:val="00B265BC"/>
    <w:rsid w:val="00B31849"/>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1737"/>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22D"/>
    <w:rsid w:val="00BC5DC7"/>
    <w:rsid w:val="00BC6B8B"/>
    <w:rsid w:val="00BC73D8"/>
    <w:rsid w:val="00BD09C0"/>
    <w:rsid w:val="00BD52D7"/>
    <w:rsid w:val="00BD5AD2"/>
    <w:rsid w:val="00BE22F3"/>
    <w:rsid w:val="00BE5B52"/>
    <w:rsid w:val="00BE7B8D"/>
    <w:rsid w:val="00BF0993"/>
    <w:rsid w:val="00BF10A9"/>
    <w:rsid w:val="00BF1703"/>
    <w:rsid w:val="00BF231C"/>
    <w:rsid w:val="00BF51E5"/>
    <w:rsid w:val="00BF6484"/>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117"/>
    <w:rsid w:val="00C8016B"/>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B0C"/>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19F7"/>
    <w:rsid w:val="00CF2947"/>
    <w:rsid w:val="00CF686F"/>
    <w:rsid w:val="00CF6E60"/>
    <w:rsid w:val="00CF7BCA"/>
    <w:rsid w:val="00D008FD"/>
    <w:rsid w:val="00D0321C"/>
    <w:rsid w:val="00D035EC"/>
    <w:rsid w:val="00D058AB"/>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327E"/>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48A"/>
    <w:rsid w:val="00E06404"/>
    <w:rsid w:val="00E070BB"/>
    <w:rsid w:val="00E11A85"/>
    <w:rsid w:val="00E12495"/>
    <w:rsid w:val="00E15CCD"/>
    <w:rsid w:val="00E202EF"/>
    <w:rsid w:val="00E210B5"/>
    <w:rsid w:val="00E2552F"/>
    <w:rsid w:val="00E3137A"/>
    <w:rsid w:val="00E32CCF"/>
    <w:rsid w:val="00E34A98"/>
    <w:rsid w:val="00E35935"/>
    <w:rsid w:val="00E35D1E"/>
    <w:rsid w:val="00E364F9"/>
    <w:rsid w:val="00E365FA"/>
    <w:rsid w:val="00E36789"/>
    <w:rsid w:val="00E4120B"/>
    <w:rsid w:val="00E43903"/>
    <w:rsid w:val="00E44A83"/>
    <w:rsid w:val="00E502C1"/>
    <w:rsid w:val="00E502DD"/>
    <w:rsid w:val="00E50D3A"/>
    <w:rsid w:val="00E51387"/>
    <w:rsid w:val="00E51E68"/>
    <w:rsid w:val="00E52EFD"/>
    <w:rsid w:val="00E5408A"/>
    <w:rsid w:val="00E56800"/>
    <w:rsid w:val="00E60C63"/>
    <w:rsid w:val="00E62FF9"/>
    <w:rsid w:val="00E635D6"/>
    <w:rsid w:val="00E639BC"/>
    <w:rsid w:val="00E64C8B"/>
    <w:rsid w:val="00E664CC"/>
    <w:rsid w:val="00E70388"/>
    <w:rsid w:val="00E70F92"/>
    <w:rsid w:val="00E74313"/>
    <w:rsid w:val="00E74C54"/>
    <w:rsid w:val="00E751D3"/>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0C3"/>
    <w:rsid w:val="00EA735B"/>
    <w:rsid w:val="00EB1E69"/>
    <w:rsid w:val="00EB2086"/>
    <w:rsid w:val="00EB31ED"/>
    <w:rsid w:val="00EB5465"/>
    <w:rsid w:val="00EB5EDF"/>
    <w:rsid w:val="00EB60FE"/>
    <w:rsid w:val="00EB74DB"/>
    <w:rsid w:val="00EC5359"/>
    <w:rsid w:val="00EC562A"/>
    <w:rsid w:val="00ED067A"/>
    <w:rsid w:val="00ED092E"/>
    <w:rsid w:val="00ED2B50"/>
    <w:rsid w:val="00EE0350"/>
    <w:rsid w:val="00EE0719"/>
    <w:rsid w:val="00EE0E80"/>
    <w:rsid w:val="00EE613F"/>
    <w:rsid w:val="00EE7295"/>
    <w:rsid w:val="00EE7869"/>
    <w:rsid w:val="00EF054A"/>
    <w:rsid w:val="00EF3235"/>
    <w:rsid w:val="00EF565C"/>
    <w:rsid w:val="00EF7E72"/>
    <w:rsid w:val="00F039C2"/>
    <w:rsid w:val="00F05FB8"/>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4DC"/>
    <w:rsid w:val="00F6194E"/>
    <w:rsid w:val="00F623AC"/>
    <w:rsid w:val="00F6412A"/>
    <w:rsid w:val="00F65893"/>
    <w:rsid w:val="00F66A4A"/>
    <w:rsid w:val="00F71E22"/>
    <w:rsid w:val="00F72142"/>
    <w:rsid w:val="00F72AE7"/>
    <w:rsid w:val="00F7441C"/>
    <w:rsid w:val="00F833BA"/>
    <w:rsid w:val="00F84FD0"/>
    <w:rsid w:val="00F859A8"/>
    <w:rsid w:val="00F861E5"/>
    <w:rsid w:val="00F86D87"/>
    <w:rsid w:val="00F8797D"/>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0DD"/>
    <w:rsid w:val="00FE3901"/>
    <w:rsid w:val="00FE39D3"/>
    <w:rsid w:val="00FE4BCE"/>
    <w:rsid w:val="00FE54AE"/>
    <w:rsid w:val="00FE576A"/>
    <w:rsid w:val="00FE7E79"/>
    <w:rsid w:val="00FF3E7D"/>
    <w:rsid w:val="00FF5B99"/>
    <w:rsid w:val="00FF730C"/>
    <w:rsid w:val="00FF73F4"/>
    <w:rsid w:val="00FF7CE4"/>
    <w:rsid w:val="00FF7E39"/>
    <w:rsid w:val="021A09FD"/>
    <w:rsid w:val="03FF4E67"/>
    <w:rsid w:val="04F55751"/>
    <w:rsid w:val="05C07B0D"/>
    <w:rsid w:val="06FE6B3F"/>
    <w:rsid w:val="07426966"/>
    <w:rsid w:val="086504F8"/>
    <w:rsid w:val="08923B7D"/>
    <w:rsid w:val="08C80798"/>
    <w:rsid w:val="09AD6C2E"/>
    <w:rsid w:val="0AB247F2"/>
    <w:rsid w:val="0C4E2CC4"/>
    <w:rsid w:val="0C5113EE"/>
    <w:rsid w:val="0D47011A"/>
    <w:rsid w:val="0E5A03D3"/>
    <w:rsid w:val="0F5D017B"/>
    <w:rsid w:val="1352499F"/>
    <w:rsid w:val="16976668"/>
    <w:rsid w:val="17D46287"/>
    <w:rsid w:val="182C1032"/>
    <w:rsid w:val="1B4E7DD1"/>
    <w:rsid w:val="1D837D50"/>
    <w:rsid w:val="205D59B9"/>
    <w:rsid w:val="23D9206E"/>
    <w:rsid w:val="25D52D09"/>
    <w:rsid w:val="28EB6E76"/>
    <w:rsid w:val="293C291C"/>
    <w:rsid w:val="2B396B57"/>
    <w:rsid w:val="2C0941EC"/>
    <w:rsid w:val="2D6010C1"/>
    <w:rsid w:val="30B31E99"/>
    <w:rsid w:val="325806BF"/>
    <w:rsid w:val="34FF38FF"/>
    <w:rsid w:val="365D3F21"/>
    <w:rsid w:val="36F11025"/>
    <w:rsid w:val="36F9668B"/>
    <w:rsid w:val="37CD7B1B"/>
    <w:rsid w:val="398707EE"/>
    <w:rsid w:val="3BA64AD4"/>
    <w:rsid w:val="3C145EE2"/>
    <w:rsid w:val="3CD02135"/>
    <w:rsid w:val="3E961D19"/>
    <w:rsid w:val="3FFF7276"/>
    <w:rsid w:val="414937AD"/>
    <w:rsid w:val="41867AAE"/>
    <w:rsid w:val="42B307CB"/>
    <w:rsid w:val="485A5D86"/>
    <w:rsid w:val="4C7F21AA"/>
    <w:rsid w:val="4CF57493"/>
    <w:rsid w:val="4DF77BD6"/>
    <w:rsid w:val="50E11CD4"/>
    <w:rsid w:val="530C1269"/>
    <w:rsid w:val="54482775"/>
    <w:rsid w:val="54856C26"/>
    <w:rsid w:val="55612503"/>
    <w:rsid w:val="55DB1F32"/>
    <w:rsid w:val="565F5B54"/>
    <w:rsid w:val="598853C1"/>
    <w:rsid w:val="5AA5562C"/>
    <w:rsid w:val="5DEC21C1"/>
    <w:rsid w:val="5F156300"/>
    <w:rsid w:val="6004440D"/>
    <w:rsid w:val="61F30F16"/>
    <w:rsid w:val="622F0AD0"/>
    <w:rsid w:val="6A8779BF"/>
    <w:rsid w:val="6AE14931"/>
    <w:rsid w:val="6B604553"/>
    <w:rsid w:val="6C083785"/>
    <w:rsid w:val="6C942417"/>
    <w:rsid w:val="6CDD21E3"/>
    <w:rsid w:val="70BE4032"/>
    <w:rsid w:val="72E8679E"/>
    <w:rsid w:val="740B1471"/>
    <w:rsid w:val="79AD3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4"/>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5"/>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6"/>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7"/>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8"/>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91"/>
    <w:qFormat/>
    <w:uiPriority w:val="0"/>
    <w:pPr>
      <w:spacing w:after="120"/>
    </w:pPr>
  </w:style>
  <w:style w:type="paragraph" w:styleId="15">
    <w:name w:val="Body Text Indent"/>
    <w:basedOn w:val="1"/>
    <w:link w:val="41"/>
    <w:semiHidden/>
    <w:unhideWhenUsed/>
    <w:qFormat/>
    <w:uiPriority w:val="99"/>
    <w:pPr>
      <w:spacing w:after="120"/>
      <w:ind w:left="420" w:leftChars="20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51"/>
    <w:semiHidden/>
    <w:unhideWhenUsed/>
    <w:qFormat/>
    <w:uiPriority w:val="99"/>
    <w:rPr>
      <w:sz w:val="18"/>
      <w:szCs w:val="18"/>
    </w:rPr>
  </w:style>
  <w:style w:type="paragraph" w:styleId="19">
    <w:name w:val="footer"/>
    <w:basedOn w:val="1"/>
    <w:link w:val="50"/>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9"/>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38"/>
    <w:qFormat/>
    <w:uiPriority w:val="0"/>
    <w:pPr>
      <w:spacing w:before="240" w:after="60"/>
      <w:jc w:val="center"/>
      <w:outlineLvl w:val="0"/>
    </w:pPr>
    <w:rPr>
      <w:rFonts w:ascii="Arial" w:hAnsi="Arial" w:cs="Arial"/>
      <w:b/>
      <w:bCs/>
      <w:sz w:val="32"/>
      <w:szCs w:val="32"/>
    </w:rPr>
  </w:style>
  <w:style w:type="paragraph" w:styleId="28">
    <w:name w:val="Body Text First Indent 2"/>
    <w:basedOn w:val="15"/>
    <w:link w:val="42"/>
    <w:unhideWhenUsed/>
    <w:qFormat/>
    <w:uiPriority w:val="99"/>
    <w:pPr>
      <w:ind w:firstLine="420" w:firstLineChars="200"/>
    </w:p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rFonts w:ascii="Times New Roman" w:hAnsi="Times New Roman" w:eastAsia="宋体" w:cs="Times New Roman"/>
      <w:b/>
      <w:bCs/>
      <w:kern w:val="44"/>
      <w:sz w:val="44"/>
      <w:szCs w:val="44"/>
    </w:rPr>
  </w:style>
  <w:style w:type="character" w:customStyle="1" w:styleId="38">
    <w:name w:val="标题 字符"/>
    <w:link w:val="27"/>
    <w:qFormat/>
    <w:uiPriority w:val="0"/>
    <w:rPr>
      <w:rFonts w:ascii="Arial" w:hAnsi="Arial" w:eastAsia="宋体" w:cs="Arial"/>
      <w:b/>
      <w:bCs/>
      <w:sz w:val="32"/>
      <w:szCs w:val="32"/>
    </w:rPr>
  </w:style>
  <w:style w:type="character" w:customStyle="1" w:styleId="39">
    <w:name w:val="标题 2 字符"/>
    <w:link w:val="3"/>
    <w:qFormat/>
    <w:uiPriority w:val="0"/>
    <w:rPr>
      <w:rFonts w:ascii="Arial" w:hAnsi="Arial" w:eastAsia="黑体" w:cs="Times New Roman"/>
      <w:b/>
      <w:bCs/>
      <w:sz w:val="32"/>
      <w:szCs w:val="32"/>
    </w:rPr>
  </w:style>
  <w:style w:type="character" w:customStyle="1" w:styleId="40">
    <w:name w:val="标题 3 字符"/>
    <w:link w:val="4"/>
    <w:qFormat/>
    <w:uiPriority w:val="0"/>
    <w:rPr>
      <w:rFonts w:ascii="Times New Roman" w:hAnsi="Times New Roman" w:eastAsia="宋体" w:cs="Times New Roman"/>
      <w:b/>
      <w:bCs/>
      <w:sz w:val="32"/>
      <w:szCs w:val="32"/>
    </w:rPr>
  </w:style>
  <w:style w:type="character" w:customStyle="1" w:styleId="41">
    <w:name w:val="正文文本缩进 字符"/>
    <w:basedOn w:val="31"/>
    <w:link w:val="15"/>
    <w:semiHidden/>
    <w:qFormat/>
    <w:uiPriority w:val="99"/>
    <w:rPr>
      <w:kern w:val="2"/>
      <w:sz w:val="21"/>
      <w:szCs w:val="21"/>
    </w:rPr>
  </w:style>
  <w:style w:type="character" w:customStyle="1" w:styleId="42">
    <w:name w:val="正文首行缩进 2 字符"/>
    <w:basedOn w:val="41"/>
    <w:link w:val="28"/>
    <w:qFormat/>
    <w:uiPriority w:val="99"/>
    <w:rPr>
      <w:kern w:val="2"/>
      <w:sz w:val="21"/>
      <w:szCs w:val="21"/>
    </w:rPr>
  </w:style>
  <w:style w:type="character" w:customStyle="1" w:styleId="43">
    <w:name w:val="标题 4 字符"/>
    <w:link w:val="5"/>
    <w:qFormat/>
    <w:uiPriority w:val="0"/>
    <w:rPr>
      <w:rFonts w:ascii="Arial" w:hAnsi="Arial" w:eastAsia="黑体" w:cs="Times New Roman"/>
      <w:b/>
      <w:bCs/>
      <w:sz w:val="28"/>
      <w:szCs w:val="28"/>
    </w:rPr>
  </w:style>
  <w:style w:type="character" w:customStyle="1" w:styleId="44">
    <w:name w:val="标题 5 字符"/>
    <w:link w:val="6"/>
    <w:qFormat/>
    <w:uiPriority w:val="0"/>
    <w:rPr>
      <w:rFonts w:ascii="Times New Roman" w:hAnsi="Times New Roman" w:eastAsia="宋体" w:cs="Times New Roman"/>
      <w:b/>
      <w:bCs/>
      <w:sz w:val="28"/>
      <w:szCs w:val="28"/>
    </w:rPr>
  </w:style>
  <w:style w:type="character" w:customStyle="1" w:styleId="45">
    <w:name w:val="标题 6 字符"/>
    <w:link w:val="7"/>
    <w:qFormat/>
    <w:uiPriority w:val="0"/>
    <w:rPr>
      <w:rFonts w:ascii="Arial" w:hAnsi="Arial" w:eastAsia="黑体" w:cs="Times New Roman"/>
      <w:b/>
      <w:bCs/>
      <w:sz w:val="24"/>
      <w:szCs w:val="24"/>
    </w:rPr>
  </w:style>
  <w:style w:type="character" w:customStyle="1" w:styleId="46">
    <w:name w:val="标题 7 字符"/>
    <w:link w:val="8"/>
    <w:qFormat/>
    <w:uiPriority w:val="0"/>
    <w:rPr>
      <w:rFonts w:ascii="Times New Roman" w:hAnsi="Times New Roman" w:eastAsia="宋体" w:cs="Times New Roman"/>
      <w:b/>
      <w:bCs/>
      <w:sz w:val="24"/>
      <w:szCs w:val="24"/>
    </w:rPr>
  </w:style>
  <w:style w:type="character" w:customStyle="1" w:styleId="47">
    <w:name w:val="标题 8 字符"/>
    <w:link w:val="9"/>
    <w:qFormat/>
    <w:uiPriority w:val="0"/>
    <w:rPr>
      <w:rFonts w:ascii="Arial" w:hAnsi="Arial" w:eastAsia="黑体" w:cs="Times New Roman"/>
      <w:sz w:val="24"/>
      <w:szCs w:val="24"/>
    </w:rPr>
  </w:style>
  <w:style w:type="character" w:customStyle="1" w:styleId="48">
    <w:name w:val="标题 9 字符"/>
    <w:link w:val="10"/>
    <w:qFormat/>
    <w:uiPriority w:val="0"/>
    <w:rPr>
      <w:rFonts w:ascii="Arial" w:hAnsi="Arial" w:eastAsia="黑体" w:cs="Times New Roman"/>
      <w:szCs w:val="21"/>
    </w:rPr>
  </w:style>
  <w:style w:type="character" w:customStyle="1" w:styleId="49">
    <w:name w:val="页眉 字符"/>
    <w:link w:val="20"/>
    <w:qFormat/>
    <w:uiPriority w:val="99"/>
    <w:rPr>
      <w:rFonts w:ascii="Times New Roman" w:hAnsi="Times New Roman" w:eastAsia="宋体" w:cs="Times New Roman"/>
      <w:sz w:val="18"/>
      <w:szCs w:val="18"/>
    </w:rPr>
  </w:style>
  <w:style w:type="character" w:customStyle="1" w:styleId="50">
    <w:name w:val="页脚 字符"/>
    <w:link w:val="19"/>
    <w:qFormat/>
    <w:uiPriority w:val="99"/>
    <w:rPr>
      <w:rFonts w:ascii="宋体" w:hAnsi="Times New Roman" w:eastAsia="宋体" w:cs="Times New Roman"/>
      <w:sz w:val="18"/>
      <w:szCs w:val="18"/>
    </w:rPr>
  </w:style>
  <w:style w:type="character" w:customStyle="1" w:styleId="51">
    <w:name w:val="批注框文本 字符"/>
    <w:link w:val="18"/>
    <w:semiHidden/>
    <w:qFormat/>
    <w:uiPriority w:val="99"/>
    <w:rPr>
      <w:sz w:val="18"/>
      <w:szCs w:val="18"/>
    </w:rPr>
  </w:style>
  <w:style w:type="paragraph" w:styleId="52">
    <w:name w:val="Quote"/>
    <w:basedOn w:val="1"/>
    <w:next w:val="1"/>
    <w:link w:val="53"/>
    <w:qFormat/>
    <w:uiPriority w:val="29"/>
    <w:rPr>
      <w:i/>
      <w:iCs/>
      <w:color w:val="000000"/>
    </w:rPr>
  </w:style>
  <w:style w:type="character" w:customStyle="1" w:styleId="53">
    <w:name w:val="引用 字符"/>
    <w:link w:val="52"/>
    <w:qFormat/>
    <w:uiPriority w:val="29"/>
    <w:rPr>
      <w:i/>
      <w:iCs/>
      <w:color w:val="000000"/>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qFormat/>
    <w:uiPriority w:val="0"/>
    <w:rPr>
      <w:rFonts w:ascii="Times New Roman" w:hAnsi="Times New Roman" w:eastAsia="宋体" w:cs="Times New Roman"/>
      <w:szCs w:val="20"/>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pPr>
  </w:style>
  <w:style w:type="paragraph" w:customStyle="1" w:styleId="96">
    <w:name w:val="标准文件_目录标题"/>
    <w:basedOn w:val="1"/>
    <w:qFormat/>
    <w:uiPriority w:val="0"/>
    <w:pPr>
      <w:spacing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ind w:left="0" w:firstLine="200"/>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3"/>
    <w:semiHidden/>
    <w:qFormat/>
    <w:uiPriority w:val="0"/>
    <w:rPr>
      <w:rFonts w:ascii="宋体" w:hAnsi="Times New Roman" w:eastAsia="宋体" w:cs="Times New Roman"/>
      <w:sz w:val="18"/>
      <w:szCs w:val="18"/>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line="300" w:lineRule="auto"/>
      <w:outlineLvl w:val="9"/>
    </w:pPr>
    <w:rPr>
      <w:rFonts w:ascii="宋体" w:hAns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line="300" w:lineRule="auto"/>
      <w:outlineLvl w:val="9"/>
    </w:pPr>
    <w:rPr>
      <w:rFonts w:ascii="宋体" w:hAnsi="宋体" w:eastAsia="宋体"/>
    </w:rPr>
  </w:style>
  <w:style w:type="paragraph" w:customStyle="1" w:styleId="170">
    <w:name w:val="标准文件_二级无标题"/>
    <w:basedOn w:val="70"/>
    <w:qFormat/>
    <w:uiPriority w:val="0"/>
    <w:pPr>
      <w:spacing w:before="0" w:beforeLines="0" w:after="0" w:afterLines="0" w:line="300" w:lineRule="auto"/>
      <w:outlineLvl w:val="9"/>
    </w:pPr>
    <w:rPr>
      <w:rFonts w:ascii="宋体" w:hAns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line="300" w:lineRule="auto"/>
      <w:outlineLvl w:val="9"/>
    </w:pPr>
    <w:rPr>
      <w:rFonts w:ascii="宋体" w:hAnsi="宋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ind w:left="783"/>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1"/>
    <w:semiHidden/>
    <w:qFormat/>
    <w:uiPriority w:val="99"/>
    <w:rPr>
      <w:color w:val="808080"/>
    </w:rPr>
  </w:style>
  <w:style w:type="paragraph" w:customStyle="1" w:styleId="192">
    <w:name w:val="标准文件_二级项2"/>
    <w:basedOn w:val="61"/>
    <w:qFormat/>
    <w:uiPriority w:val="0"/>
    <w:pPr>
      <w:numPr>
        <w:ilvl w:val="1"/>
        <w:numId w:val="21"/>
      </w:numPr>
      <w:tabs>
        <w:tab w:val="left" w:pos="851"/>
      </w:tabs>
      <w:ind w:firstLine="0" w:firstLineChars="0"/>
    </w:pPr>
  </w:style>
  <w:style w:type="paragraph" w:customStyle="1" w:styleId="193">
    <w:name w:val="标准文件_三级项2"/>
    <w:basedOn w:val="61"/>
    <w:qFormat/>
    <w:uiPriority w:val="0"/>
    <w:pPr>
      <w:numPr>
        <w:ilvl w:val="0"/>
        <w:numId w:val="30"/>
      </w:numPr>
      <w:spacing w:line="300" w:lineRule="exact"/>
      <w:ind w:left="1276" w:hanging="425" w:firstLineChars="0"/>
    </w:pPr>
    <w:rPr>
      <w:rFonts w:ascii="Times New Roman"/>
    </w:rPr>
  </w:style>
  <w:style w:type="paragraph" w:customStyle="1" w:styleId="194">
    <w:name w:val="标准文件_一级项2"/>
    <w:basedOn w:val="61"/>
    <w:qFormat/>
    <w:uiPriority w:val="0"/>
    <w:pPr>
      <w:numPr>
        <w:ilvl w:val="0"/>
        <w:numId w:val="31"/>
      </w:numPr>
      <w:spacing w:line="300" w:lineRule="exact"/>
      <w:ind w:left="1271" w:hanging="420"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1"/>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next w:val="61"/>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1"/>
    <w:qFormat/>
    <w:uiPriority w:val="0"/>
    <w:rPr>
      <w:rFonts w:ascii="黑体" w:eastAsia="黑体"/>
      <w:spacing w:val="85"/>
      <w:w w:val="100"/>
      <w:position w:val="3"/>
      <w:sz w:val="28"/>
      <w:szCs w:val="28"/>
    </w:rPr>
  </w:style>
  <w:style w:type="table" w:customStyle="1" w:styleId="235">
    <w:name w:val="网格型1"/>
    <w:basedOn w:val="29"/>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C4821467A3B4DB589874826D41FF7B1"/>
        <w:style w:val=""/>
        <w:category>
          <w:name w:val="常规"/>
          <w:gallery w:val="placeholder"/>
        </w:category>
        <w:types>
          <w:type w:val="bbPlcHdr"/>
        </w:types>
        <w:behaviors>
          <w:behavior w:val="content"/>
        </w:behaviors>
        <w:description w:val=""/>
        <w:guid w:val="{ED57FAC5-0A60-452C-BD48-3EF878D541A9}"/>
      </w:docPartPr>
      <w:docPartBody>
        <w:p w14:paraId="7B4E4DB4">
          <w:pPr>
            <w:pStyle w:val="5"/>
          </w:pPr>
          <w:r>
            <w:rPr>
              <w:rStyle w:val="4"/>
              <w:rFonts w:hint="eastAsia"/>
            </w:rPr>
            <w:t>单击或点击此处输入文字。</w:t>
          </w:r>
        </w:p>
      </w:docPartBody>
    </w:docPart>
    <w:docPart>
      <w:docPartPr>
        <w:name w:val="5B1FC8F8F15B4B5A8F0A1EDDDBC0C351"/>
        <w:style w:val=""/>
        <w:category>
          <w:name w:val="常规"/>
          <w:gallery w:val="placeholder"/>
        </w:category>
        <w:types>
          <w:type w:val="bbPlcHdr"/>
        </w:types>
        <w:behaviors>
          <w:behavior w:val="content"/>
        </w:behaviors>
        <w:description w:val=""/>
        <w:guid w:val="{8B2D9ACC-9DBA-4287-AE45-9F77804CBAC2}"/>
      </w:docPartPr>
      <w:docPartBody>
        <w:p w14:paraId="042D7FF6">
          <w:pPr>
            <w:pStyle w:val="6"/>
          </w:pPr>
          <w:r>
            <w:rPr>
              <w:rStyle w:val="4"/>
              <w:rFonts w:hint="eastAsia"/>
            </w:rPr>
            <w:t>选择一项。</w:t>
          </w:r>
        </w:p>
      </w:docPartBody>
    </w:docPart>
    <w:docPart>
      <w:docPartPr>
        <w:name w:val="8991A396561441D297A413D4AC68AAB5"/>
        <w:style w:val=""/>
        <w:category>
          <w:name w:val="常规"/>
          <w:gallery w:val="placeholder"/>
        </w:category>
        <w:types>
          <w:type w:val="bbPlcHdr"/>
        </w:types>
        <w:behaviors>
          <w:behavior w:val="content"/>
        </w:behaviors>
        <w:description w:val=""/>
        <w:guid w:val="{1DEE6D36-1914-4EB9-9431-522866839365}"/>
      </w:docPartPr>
      <w:docPartBody>
        <w:p w14:paraId="6FE5011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B01"/>
    <w:rsid w:val="000061A4"/>
    <w:rsid w:val="00342584"/>
    <w:rsid w:val="00356EAA"/>
    <w:rsid w:val="00466973"/>
    <w:rsid w:val="00496C5C"/>
    <w:rsid w:val="006332AC"/>
    <w:rsid w:val="0068113D"/>
    <w:rsid w:val="00713113"/>
    <w:rsid w:val="007D5FB1"/>
    <w:rsid w:val="00987E24"/>
    <w:rsid w:val="00B406F5"/>
    <w:rsid w:val="00B91066"/>
    <w:rsid w:val="00BB7B01"/>
    <w:rsid w:val="00BF4F15"/>
    <w:rsid w:val="00C13CE7"/>
    <w:rsid w:val="00CA1670"/>
    <w:rsid w:val="00D0725D"/>
    <w:rsid w:val="00EC5C69"/>
    <w:rsid w:val="00F86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C4821467A3B4DB589874826D41FF7B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B1FC8F8F15B4B5A8F0A1EDDDBC0C35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991A396561441D297A413D4AC68AAB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11</Pages>
  <Words>6255</Words>
  <Characters>6994</Characters>
  <Lines>61</Lines>
  <Paragraphs>17</Paragraphs>
  <TotalTime>26</TotalTime>
  <ScaleCrop>false</ScaleCrop>
  <LinksUpToDate>false</LinksUpToDate>
  <CharactersWithSpaces>7156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2022-04-21T10:29:00Z</dcterms:created>
  <dc:creator>R Xie</dc:creator>
  <dc:description>&lt;config cover="true" show_menu="true" version="1.0.0" doctype="SDKXY"&gt;_x000d_
&lt;/config&gt;</dc:description>
  <cp:lastModifiedBy>赵经营</cp:lastModifiedBy>
  <cp:lastPrinted>2025-03-04T05:05:00Z</cp:lastPrinted>
  <dcterms:modified xsi:type="dcterms:W3CDTF">2025-04-24T02:17:58Z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F5BF41C5CF2C430D8349507661B8ECE3</vt:lpwstr>
  </property>
  <property fmtid="{D5CDD505-2E9C-101B-9397-08002B2CF9AE}" pid="16" name="KSOTemplateDocerSaveRecord">
    <vt:lpwstr>eyJoZGlkIjoiMTMwYWRhYzIzMDkzYjBhMmVlNWRlNTc3NmYxMDFkZDIiLCJ1c2VySWQiOiI0NDU2MjgzMzUifQ==</vt:lpwstr>
  </property>
</Properties>
</file>